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8CEB1" w14:textId="62653B91" w:rsidR="00360E30" w:rsidRDefault="00850281" w:rsidP="00360E30">
      <w:pPr>
        <w:autoSpaceDE w:val="0"/>
        <w:autoSpaceDN w:val="0"/>
        <w:adjustRightInd w:val="0"/>
        <w:spacing w:after="0" w:line="240" w:lineRule="auto"/>
        <w:rPr>
          <w:rFonts w:ascii="Arial" w:eastAsia="Times New Roman" w:hAnsi="Arial" w:cs="Arial"/>
          <w:b/>
          <w:bCs/>
          <w:color w:val="FFFFFF"/>
          <w:sz w:val="28"/>
          <w:szCs w:val="28"/>
          <w:lang w:eastAsia="es-CO"/>
        </w:rPr>
      </w:pPr>
      <w:r>
        <w:rPr>
          <w:noProof/>
          <w:lang w:eastAsia="es-CO"/>
        </w:rPr>
        <w:drawing>
          <wp:anchor distT="0" distB="0" distL="114300" distR="114300" simplePos="0" relativeHeight="251659264" behindDoc="1" locked="0" layoutInCell="1" allowOverlap="1" wp14:anchorId="6EAC95DD" wp14:editId="4DD4C0FA">
            <wp:simplePos x="0" y="0"/>
            <wp:positionH relativeFrom="margin">
              <wp:posOffset>-416560</wp:posOffset>
            </wp:positionH>
            <wp:positionV relativeFrom="paragraph">
              <wp:posOffset>-534035</wp:posOffset>
            </wp:positionV>
            <wp:extent cx="6797931" cy="8705850"/>
            <wp:effectExtent l="0" t="0" r="3175" b="0"/>
            <wp:wrapNone/>
            <wp:docPr id="9" name="Imagen 9" descr="Interfaz de usuario gráfica, Texto, Aplicación, Chat o mensaje de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 Chat o mensaje de texto, Sitio web&#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t="6129"/>
                    <a:stretch>
                      <a:fillRect/>
                    </a:stretch>
                  </pic:blipFill>
                  <pic:spPr bwMode="auto">
                    <a:xfrm>
                      <a:off x="0" y="0"/>
                      <a:ext cx="6797931" cy="8705850"/>
                    </a:xfrm>
                    <a:prstGeom prst="rect">
                      <a:avLst/>
                    </a:prstGeom>
                    <a:noFill/>
                  </pic:spPr>
                </pic:pic>
              </a:graphicData>
            </a:graphic>
            <wp14:sizeRelH relativeFrom="page">
              <wp14:pctWidth>0</wp14:pctWidth>
            </wp14:sizeRelH>
            <wp14:sizeRelV relativeFrom="page">
              <wp14:pctHeight>0</wp14:pctHeight>
            </wp14:sizeRelV>
          </wp:anchor>
        </w:drawing>
      </w:r>
      <w:r w:rsidR="008C0DD0">
        <w:rPr>
          <w:noProof/>
        </w:rPr>
        <w:drawing>
          <wp:anchor distT="0" distB="0" distL="114300" distR="114300" simplePos="0" relativeHeight="251660288" behindDoc="0" locked="0" layoutInCell="1" allowOverlap="1" wp14:anchorId="30515F49" wp14:editId="33B8C2FF">
            <wp:simplePos x="0" y="0"/>
            <wp:positionH relativeFrom="margin">
              <wp:align>left</wp:align>
            </wp:positionH>
            <wp:positionV relativeFrom="paragraph">
              <wp:posOffset>-271145</wp:posOffset>
            </wp:positionV>
            <wp:extent cx="2912242" cy="609600"/>
            <wp:effectExtent l="0" t="0" r="2540" b="0"/>
            <wp:wrapNone/>
            <wp:docPr id="251476110"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76110" name="Imagen 1" descr="Icon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12242" cy="609600"/>
                    </a:xfrm>
                    <a:prstGeom prst="rect">
                      <a:avLst/>
                    </a:prstGeom>
                  </pic:spPr>
                </pic:pic>
              </a:graphicData>
            </a:graphic>
            <wp14:sizeRelH relativeFrom="page">
              <wp14:pctWidth>0</wp14:pctWidth>
            </wp14:sizeRelH>
            <wp14:sizeRelV relativeFrom="page">
              <wp14:pctHeight>0</wp14:pctHeight>
            </wp14:sizeRelV>
          </wp:anchor>
        </w:drawing>
      </w:r>
      <w:r w:rsidR="00394E70">
        <w:rPr>
          <w:lang w:val="es-MX"/>
        </w:rPr>
        <w:t xml:space="preserve"> </w:t>
      </w:r>
    </w:p>
    <w:p w14:paraId="070E1360" w14:textId="319CA836" w:rsidR="00360E30"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p>
    <w:p w14:paraId="420A10C2" w14:textId="6CF76997" w:rsidR="00360E30"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p>
    <w:p w14:paraId="1731B5E0" w14:textId="77777777" w:rsidR="00360E30"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p>
    <w:p w14:paraId="691B0C38" w14:textId="77777777" w:rsidR="00360E30"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p>
    <w:p w14:paraId="4DB0A2E0" w14:textId="1197AEE5" w:rsidR="00360E30"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p>
    <w:p w14:paraId="0C653FBF" w14:textId="64F870A9" w:rsidR="00360E30"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p>
    <w:p w14:paraId="234B4A18" w14:textId="67D11625" w:rsidR="00360E30" w:rsidRPr="007C03B4" w:rsidRDefault="00360E30" w:rsidP="00360E30">
      <w:pPr>
        <w:autoSpaceDE w:val="0"/>
        <w:autoSpaceDN w:val="0"/>
        <w:adjustRightInd w:val="0"/>
        <w:spacing w:after="0" w:line="240" w:lineRule="auto"/>
        <w:rPr>
          <w:rFonts w:eastAsia="Times New Roman" w:cs="Arial"/>
          <w:b/>
          <w:bCs/>
          <w:color w:val="FFFFFF"/>
          <w:sz w:val="28"/>
          <w:szCs w:val="28"/>
          <w:lang w:eastAsia="es-CO"/>
        </w:rPr>
      </w:pPr>
    </w:p>
    <w:p w14:paraId="1A664E0B" w14:textId="271C154F" w:rsidR="00360E30" w:rsidRPr="007C03B4" w:rsidRDefault="00360E30" w:rsidP="00360E30">
      <w:pPr>
        <w:autoSpaceDE w:val="0"/>
        <w:autoSpaceDN w:val="0"/>
        <w:adjustRightInd w:val="0"/>
        <w:spacing w:after="0" w:line="240" w:lineRule="auto"/>
        <w:rPr>
          <w:rFonts w:eastAsia="Times New Roman" w:cs="Arial"/>
          <w:b/>
          <w:bCs/>
          <w:color w:val="FFFFFF"/>
          <w:sz w:val="28"/>
          <w:szCs w:val="28"/>
          <w:lang w:eastAsia="es-CO"/>
        </w:rPr>
      </w:pPr>
    </w:p>
    <w:p w14:paraId="61CCAEDF" w14:textId="1A86E47C" w:rsidR="00360E30" w:rsidRPr="007C03B4" w:rsidRDefault="00360E30" w:rsidP="00360E30">
      <w:pPr>
        <w:autoSpaceDE w:val="0"/>
        <w:autoSpaceDN w:val="0"/>
        <w:adjustRightInd w:val="0"/>
        <w:spacing w:after="0" w:line="240" w:lineRule="auto"/>
        <w:rPr>
          <w:rFonts w:eastAsia="Times New Roman" w:cs="Arial"/>
          <w:b/>
          <w:bCs/>
          <w:color w:val="FFFFFF"/>
          <w:sz w:val="28"/>
          <w:szCs w:val="28"/>
          <w:lang w:eastAsia="es-CO"/>
        </w:rPr>
      </w:pPr>
    </w:p>
    <w:p w14:paraId="67A8F50C" w14:textId="77777777" w:rsidR="002B5263" w:rsidRPr="007C03B4" w:rsidRDefault="002B5263" w:rsidP="00360E30">
      <w:pPr>
        <w:autoSpaceDE w:val="0"/>
        <w:autoSpaceDN w:val="0"/>
        <w:adjustRightInd w:val="0"/>
        <w:spacing w:after="0" w:line="240" w:lineRule="auto"/>
        <w:rPr>
          <w:rFonts w:eastAsia="Times New Roman" w:cs="Arial"/>
          <w:b/>
          <w:bCs/>
          <w:color w:val="FFFFFF"/>
          <w:sz w:val="28"/>
          <w:szCs w:val="28"/>
          <w:lang w:eastAsia="es-CO"/>
        </w:rPr>
      </w:pPr>
    </w:p>
    <w:p w14:paraId="0A967E8B" w14:textId="77777777" w:rsidR="002B5263" w:rsidRPr="007C03B4" w:rsidRDefault="002B5263" w:rsidP="00360E30">
      <w:pPr>
        <w:autoSpaceDE w:val="0"/>
        <w:autoSpaceDN w:val="0"/>
        <w:adjustRightInd w:val="0"/>
        <w:spacing w:after="0" w:line="240" w:lineRule="auto"/>
        <w:rPr>
          <w:rFonts w:eastAsia="Times New Roman" w:cs="Arial"/>
          <w:b/>
          <w:bCs/>
          <w:color w:val="FFFFFF"/>
          <w:sz w:val="28"/>
          <w:szCs w:val="28"/>
          <w:lang w:eastAsia="es-CO"/>
        </w:rPr>
      </w:pPr>
    </w:p>
    <w:p w14:paraId="045D87AB" w14:textId="185BD1BC" w:rsidR="00360E30" w:rsidRPr="007C03B4" w:rsidRDefault="00360E30" w:rsidP="00360E30">
      <w:pPr>
        <w:autoSpaceDE w:val="0"/>
        <w:autoSpaceDN w:val="0"/>
        <w:adjustRightInd w:val="0"/>
        <w:spacing w:after="0" w:line="240" w:lineRule="auto"/>
        <w:rPr>
          <w:rFonts w:eastAsia="Times New Roman" w:cs="Arial"/>
          <w:b/>
          <w:bCs/>
          <w:color w:val="FFFFFF"/>
          <w:sz w:val="28"/>
          <w:szCs w:val="28"/>
          <w:lang w:eastAsia="es-CO"/>
        </w:rPr>
      </w:pPr>
    </w:p>
    <w:p w14:paraId="132A58C1" w14:textId="627809DA" w:rsidR="00360E30" w:rsidRPr="007C03B4" w:rsidRDefault="00360E30" w:rsidP="00360E30">
      <w:pPr>
        <w:autoSpaceDE w:val="0"/>
        <w:autoSpaceDN w:val="0"/>
        <w:adjustRightInd w:val="0"/>
        <w:spacing w:after="0" w:line="240" w:lineRule="auto"/>
        <w:rPr>
          <w:rFonts w:eastAsia="Times New Roman" w:cs="Arial"/>
          <w:color w:val="FFFFFF"/>
          <w:sz w:val="28"/>
          <w:szCs w:val="28"/>
          <w:lang w:eastAsia="es-CO"/>
        </w:rPr>
      </w:pPr>
      <w:r w:rsidRPr="007C03B4">
        <w:rPr>
          <w:rFonts w:eastAsia="Times New Roman" w:cs="Arial"/>
          <w:b/>
          <w:bCs/>
          <w:color w:val="FFFFFF"/>
          <w:sz w:val="28"/>
          <w:szCs w:val="28"/>
          <w:lang w:eastAsia="es-CO"/>
        </w:rPr>
        <w:t>Subdirección de Estudios Económicos</w:t>
      </w:r>
    </w:p>
    <w:p w14:paraId="21A28488" w14:textId="44CD063A" w:rsidR="00360E30" w:rsidRPr="007C03B4" w:rsidRDefault="00360E30" w:rsidP="00360E30">
      <w:pPr>
        <w:autoSpaceDE w:val="0"/>
        <w:autoSpaceDN w:val="0"/>
        <w:adjustRightInd w:val="0"/>
        <w:spacing w:after="0" w:line="240" w:lineRule="auto"/>
        <w:rPr>
          <w:rFonts w:eastAsia="Times New Roman" w:cs="Arial"/>
          <w:b/>
          <w:bCs/>
          <w:color w:val="FFFFFF"/>
          <w:sz w:val="26"/>
          <w:szCs w:val="26"/>
          <w:lang w:eastAsia="es-CO"/>
        </w:rPr>
      </w:pPr>
      <w:r w:rsidRPr="007C03B4">
        <w:rPr>
          <w:rFonts w:eastAsia="Times New Roman" w:cs="Arial"/>
          <w:color w:val="FFFFFF"/>
          <w:sz w:val="28"/>
          <w:szCs w:val="28"/>
          <w:lang w:eastAsia="es-CO"/>
        </w:rPr>
        <w:t xml:space="preserve">Dirección de Gestión Estratégica y </w:t>
      </w:r>
      <w:r w:rsidR="008E4FED" w:rsidRPr="007C03B4">
        <w:rPr>
          <w:rFonts w:eastAsia="Times New Roman" w:cs="Arial"/>
          <w:color w:val="FFFFFF"/>
          <w:sz w:val="28"/>
          <w:szCs w:val="28"/>
          <w:lang w:eastAsia="es-CO"/>
        </w:rPr>
        <w:t>de Analítica</w:t>
      </w:r>
    </w:p>
    <w:p w14:paraId="72C32CC5" w14:textId="46E04207" w:rsidR="00360E30" w:rsidRPr="007C03B4" w:rsidRDefault="00360E30" w:rsidP="00360E30">
      <w:pPr>
        <w:autoSpaceDE w:val="0"/>
        <w:autoSpaceDN w:val="0"/>
        <w:adjustRightInd w:val="0"/>
        <w:spacing w:after="0" w:line="240" w:lineRule="auto"/>
        <w:rPr>
          <w:rFonts w:eastAsia="Times New Roman" w:cs="Arial"/>
          <w:b/>
          <w:bCs/>
          <w:color w:val="FFFFFF"/>
          <w:sz w:val="32"/>
          <w:szCs w:val="32"/>
          <w:lang w:eastAsia="es-CO"/>
        </w:rPr>
      </w:pPr>
    </w:p>
    <w:p w14:paraId="4EE38205" w14:textId="06FC3C68" w:rsidR="00360E30" w:rsidRPr="007C03B4" w:rsidRDefault="00360E30" w:rsidP="00360E30">
      <w:pPr>
        <w:autoSpaceDE w:val="0"/>
        <w:autoSpaceDN w:val="0"/>
        <w:adjustRightInd w:val="0"/>
        <w:spacing w:after="0" w:line="240" w:lineRule="auto"/>
        <w:rPr>
          <w:rFonts w:eastAsia="Times New Roman" w:cs="Arial"/>
          <w:b/>
          <w:bCs/>
          <w:color w:val="FFFFFF"/>
          <w:sz w:val="28"/>
          <w:szCs w:val="28"/>
          <w:lang w:eastAsia="es-CO"/>
        </w:rPr>
      </w:pPr>
    </w:p>
    <w:p w14:paraId="08FFE904" w14:textId="784F35D3" w:rsidR="00360E30" w:rsidRPr="007C03B4" w:rsidRDefault="00360E30" w:rsidP="00360E30">
      <w:pPr>
        <w:autoSpaceDE w:val="0"/>
        <w:autoSpaceDN w:val="0"/>
        <w:adjustRightInd w:val="0"/>
        <w:spacing w:after="0" w:line="240" w:lineRule="auto"/>
        <w:rPr>
          <w:rFonts w:eastAsia="Times New Roman" w:cs="Arial"/>
          <w:color w:val="FFFFFF"/>
          <w:sz w:val="28"/>
          <w:szCs w:val="28"/>
          <w:lang w:eastAsia="es-CO"/>
        </w:rPr>
      </w:pPr>
      <w:r w:rsidRPr="007C03B4">
        <w:rPr>
          <w:rFonts w:eastAsia="Times New Roman" w:cs="Arial"/>
          <w:b/>
          <w:bCs/>
          <w:color w:val="FFFFFF"/>
          <w:sz w:val="28"/>
          <w:szCs w:val="28"/>
          <w:lang w:eastAsia="es-CO"/>
        </w:rPr>
        <w:t xml:space="preserve">Gasto tributario en el impuesto sobre la renta, el impuesto al valor agregado (IVA) y otros impuestos nacionales – año gravable </w:t>
      </w:r>
      <w:r w:rsidR="008E4FED" w:rsidRPr="007C03B4">
        <w:rPr>
          <w:rFonts w:eastAsia="Times New Roman" w:cs="Arial"/>
          <w:b/>
          <w:bCs/>
          <w:color w:val="FFFFFF"/>
          <w:sz w:val="28"/>
          <w:szCs w:val="28"/>
          <w:lang w:eastAsia="es-CO"/>
        </w:rPr>
        <w:t>202</w:t>
      </w:r>
      <w:r w:rsidR="00DC15BB">
        <w:rPr>
          <w:rFonts w:eastAsia="Times New Roman" w:cs="Arial"/>
          <w:b/>
          <w:bCs/>
          <w:color w:val="FFFFFF"/>
          <w:sz w:val="28"/>
          <w:szCs w:val="28"/>
          <w:lang w:eastAsia="es-CO"/>
        </w:rPr>
        <w:t>2</w:t>
      </w:r>
      <w:r w:rsidRPr="007C03B4">
        <w:rPr>
          <w:rFonts w:eastAsia="Times New Roman" w:cs="Arial"/>
          <w:b/>
          <w:bCs/>
          <w:color w:val="FFFFFF"/>
          <w:sz w:val="28"/>
          <w:szCs w:val="28"/>
          <w:lang w:eastAsia="es-CO"/>
        </w:rPr>
        <w:t xml:space="preserve"> </w:t>
      </w:r>
    </w:p>
    <w:p w14:paraId="5FF4E7AB" w14:textId="5B55A0C6" w:rsidR="00360E30" w:rsidRPr="007C03B4" w:rsidRDefault="00360E30" w:rsidP="00360E30">
      <w:pPr>
        <w:autoSpaceDE w:val="0"/>
        <w:autoSpaceDN w:val="0"/>
        <w:adjustRightInd w:val="0"/>
        <w:spacing w:after="0" w:line="240" w:lineRule="auto"/>
        <w:rPr>
          <w:rFonts w:eastAsia="Times New Roman" w:cs="Arial"/>
          <w:b/>
          <w:bCs/>
          <w:color w:val="FFFFFF"/>
          <w:sz w:val="26"/>
          <w:szCs w:val="26"/>
          <w:lang w:eastAsia="es-CO"/>
        </w:rPr>
      </w:pPr>
    </w:p>
    <w:p w14:paraId="51687704" w14:textId="18AB4E09" w:rsidR="00360E30" w:rsidRPr="007C03B4" w:rsidRDefault="00360E30" w:rsidP="00360E30">
      <w:pPr>
        <w:autoSpaceDE w:val="0"/>
        <w:autoSpaceDN w:val="0"/>
        <w:adjustRightInd w:val="0"/>
        <w:spacing w:after="0" w:line="240" w:lineRule="auto"/>
        <w:rPr>
          <w:rFonts w:eastAsia="Times New Roman" w:cs="Arial"/>
          <w:b/>
          <w:bCs/>
          <w:color w:val="FFFFFF"/>
          <w:sz w:val="26"/>
          <w:szCs w:val="26"/>
          <w:lang w:eastAsia="es-CO"/>
        </w:rPr>
      </w:pPr>
      <w:r w:rsidRPr="007C03B4">
        <w:rPr>
          <w:rFonts w:eastAsia="Times New Roman" w:cs="Arial"/>
          <w:b/>
          <w:bCs/>
          <w:color w:val="FFFFFF"/>
          <w:sz w:val="26"/>
          <w:szCs w:val="26"/>
          <w:lang w:eastAsia="es-CO"/>
        </w:rPr>
        <w:t>________________________________________________________</w:t>
      </w:r>
    </w:p>
    <w:p w14:paraId="2FAAC3DF" w14:textId="28CBF478" w:rsidR="00360E30" w:rsidRPr="007C03B4" w:rsidRDefault="00360E30" w:rsidP="00360E30">
      <w:pPr>
        <w:autoSpaceDE w:val="0"/>
        <w:autoSpaceDN w:val="0"/>
        <w:adjustRightInd w:val="0"/>
        <w:spacing w:after="0" w:line="240" w:lineRule="auto"/>
        <w:rPr>
          <w:rFonts w:eastAsia="Times New Roman" w:cs="Arial"/>
          <w:color w:val="FFFFFF"/>
          <w:sz w:val="48"/>
          <w:szCs w:val="48"/>
          <w:lang w:val="es-ES" w:eastAsia="es-CO"/>
        </w:rPr>
      </w:pPr>
      <w:r w:rsidRPr="007C03B4">
        <w:rPr>
          <w:rFonts w:eastAsia="Times New Roman" w:cs="Arial"/>
          <w:b/>
          <w:bCs/>
          <w:color w:val="FFFFFF"/>
          <w:sz w:val="26"/>
          <w:szCs w:val="26"/>
          <w:lang w:eastAsia="es-CO"/>
        </w:rPr>
        <w:t>Documento preparado para el Marco Fiscal de Mediano Plazo 202</w:t>
      </w:r>
      <w:r w:rsidR="003826FC">
        <w:rPr>
          <w:rFonts w:eastAsia="Times New Roman" w:cs="Arial"/>
          <w:b/>
          <w:bCs/>
          <w:color w:val="FFFFFF"/>
          <w:sz w:val="26"/>
          <w:szCs w:val="26"/>
          <w:lang w:eastAsia="es-CO"/>
        </w:rPr>
        <w:t>4</w:t>
      </w:r>
      <w:r w:rsidRPr="007C03B4">
        <w:rPr>
          <w:rFonts w:eastAsia="Times New Roman" w:cs="Arial"/>
          <w:b/>
          <w:bCs/>
          <w:color w:val="FFFFFF"/>
          <w:sz w:val="26"/>
          <w:szCs w:val="26"/>
          <w:lang w:eastAsia="es-CO"/>
        </w:rPr>
        <w:t xml:space="preserve"> </w:t>
      </w:r>
      <w:r w:rsidRPr="007C03B4">
        <w:rPr>
          <w:rFonts w:eastAsia="Times New Roman" w:cs="Arial"/>
          <w:color w:val="FFFFFF"/>
          <w:sz w:val="48"/>
          <w:szCs w:val="48"/>
          <w:lang w:val="es-ES" w:eastAsia="es-CO"/>
        </w:rPr>
        <w:tab/>
      </w:r>
    </w:p>
    <w:p w14:paraId="55B0E545" w14:textId="15BEEED4" w:rsidR="00360E30" w:rsidRDefault="00360E30" w:rsidP="00360E30">
      <w:pPr>
        <w:autoSpaceDE w:val="0"/>
        <w:autoSpaceDN w:val="0"/>
        <w:adjustRightInd w:val="0"/>
        <w:spacing w:after="0" w:line="240" w:lineRule="auto"/>
        <w:rPr>
          <w:rFonts w:eastAsia="Times New Roman" w:cs="Arial"/>
          <w:b/>
          <w:bCs/>
          <w:color w:val="FFFFFF"/>
          <w:sz w:val="20"/>
          <w:szCs w:val="20"/>
          <w:lang w:eastAsia="es-CO"/>
        </w:rPr>
      </w:pPr>
    </w:p>
    <w:p w14:paraId="572E707D" w14:textId="77777777" w:rsidR="00BB31B6" w:rsidRDefault="00BB31B6" w:rsidP="00360E30">
      <w:pPr>
        <w:autoSpaceDE w:val="0"/>
        <w:autoSpaceDN w:val="0"/>
        <w:adjustRightInd w:val="0"/>
        <w:spacing w:after="0" w:line="240" w:lineRule="auto"/>
        <w:rPr>
          <w:rFonts w:eastAsia="Times New Roman" w:cs="Arial"/>
          <w:b/>
          <w:bCs/>
          <w:color w:val="FFFFFF"/>
          <w:sz w:val="20"/>
          <w:szCs w:val="20"/>
          <w:lang w:eastAsia="es-CO"/>
        </w:rPr>
      </w:pPr>
    </w:p>
    <w:p w14:paraId="3A48EE15" w14:textId="6CBBEEED" w:rsidR="00786567" w:rsidRPr="00035A5E" w:rsidRDefault="00786567" w:rsidP="00360E30">
      <w:pPr>
        <w:autoSpaceDE w:val="0"/>
        <w:autoSpaceDN w:val="0"/>
        <w:adjustRightInd w:val="0"/>
        <w:spacing w:after="0" w:line="240" w:lineRule="auto"/>
        <w:rPr>
          <w:rFonts w:eastAsia="Times New Roman" w:cs="Arial"/>
          <w:b/>
          <w:bCs/>
          <w:color w:val="FFFFFF"/>
          <w:sz w:val="20"/>
          <w:szCs w:val="20"/>
          <w:lang w:eastAsia="es-CO"/>
        </w:rPr>
      </w:pPr>
      <w:r w:rsidRPr="00035A5E">
        <w:rPr>
          <w:rFonts w:eastAsia="Times New Roman" w:cs="Arial"/>
          <w:b/>
          <w:bCs/>
          <w:color w:val="FFFFFF"/>
          <w:sz w:val="20"/>
          <w:szCs w:val="20"/>
          <w:lang w:eastAsia="es-CO"/>
        </w:rPr>
        <w:t>David Suárez Castellanos</w:t>
      </w:r>
    </w:p>
    <w:p w14:paraId="6980D21F" w14:textId="77777777" w:rsidR="008E40A5" w:rsidRPr="00035A5E" w:rsidRDefault="009568C3" w:rsidP="009568C3">
      <w:pPr>
        <w:autoSpaceDE w:val="0"/>
        <w:autoSpaceDN w:val="0"/>
        <w:adjustRightInd w:val="0"/>
        <w:spacing w:after="0" w:line="240" w:lineRule="auto"/>
        <w:rPr>
          <w:rFonts w:eastAsia="Times New Roman" w:cs="Arial"/>
          <w:b/>
          <w:bCs/>
          <w:color w:val="FFFFFF"/>
          <w:sz w:val="20"/>
          <w:szCs w:val="20"/>
          <w:lang w:eastAsia="es-CO"/>
        </w:rPr>
      </w:pPr>
      <w:r w:rsidRPr="00035A5E">
        <w:rPr>
          <w:rFonts w:eastAsia="Times New Roman" w:cs="Arial"/>
          <w:b/>
          <w:bCs/>
          <w:color w:val="FFFFFF"/>
          <w:sz w:val="20"/>
          <w:szCs w:val="20"/>
          <w:lang w:eastAsia="es-CO"/>
        </w:rPr>
        <w:t>Diana Parra Garzón</w:t>
      </w:r>
    </w:p>
    <w:p w14:paraId="61BE2FC0" w14:textId="0A1186FE" w:rsidR="007D4D3A" w:rsidRPr="00035A5E" w:rsidRDefault="007D4D3A" w:rsidP="009568C3">
      <w:pPr>
        <w:autoSpaceDE w:val="0"/>
        <w:autoSpaceDN w:val="0"/>
        <w:adjustRightInd w:val="0"/>
        <w:spacing w:after="0" w:line="240" w:lineRule="auto"/>
        <w:rPr>
          <w:rFonts w:eastAsia="Times New Roman" w:cs="Arial"/>
          <w:b/>
          <w:bCs/>
          <w:color w:val="FFFFFF"/>
          <w:sz w:val="20"/>
          <w:szCs w:val="20"/>
          <w:lang w:eastAsia="es-CO"/>
        </w:rPr>
      </w:pPr>
      <w:r w:rsidRPr="00035A5E">
        <w:rPr>
          <w:rFonts w:eastAsia="Times New Roman" w:cs="Arial"/>
          <w:b/>
          <w:bCs/>
          <w:color w:val="FFFFFF"/>
          <w:sz w:val="20"/>
          <w:szCs w:val="20"/>
          <w:lang w:eastAsia="es-CO"/>
        </w:rPr>
        <w:t xml:space="preserve">Gloria </w:t>
      </w:r>
      <w:r w:rsidR="00035A5E">
        <w:rPr>
          <w:rFonts w:eastAsia="Times New Roman" w:cs="Arial"/>
          <w:b/>
          <w:bCs/>
          <w:color w:val="FFFFFF"/>
          <w:sz w:val="20"/>
          <w:szCs w:val="20"/>
          <w:lang w:eastAsia="es-CO"/>
        </w:rPr>
        <w:t xml:space="preserve">Yori </w:t>
      </w:r>
      <w:r w:rsidRPr="00035A5E">
        <w:rPr>
          <w:rFonts w:eastAsia="Times New Roman" w:cs="Arial"/>
          <w:b/>
          <w:bCs/>
          <w:color w:val="FFFFFF"/>
          <w:sz w:val="20"/>
          <w:szCs w:val="20"/>
          <w:lang w:eastAsia="es-CO"/>
        </w:rPr>
        <w:t>Parra</w:t>
      </w:r>
    </w:p>
    <w:p w14:paraId="516BC49F" w14:textId="2E175D86" w:rsidR="009568C3" w:rsidRPr="00035A5E" w:rsidRDefault="008E40A5" w:rsidP="009568C3">
      <w:pPr>
        <w:autoSpaceDE w:val="0"/>
        <w:autoSpaceDN w:val="0"/>
        <w:adjustRightInd w:val="0"/>
        <w:spacing w:after="0" w:line="240" w:lineRule="auto"/>
        <w:rPr>
          <w:rFonts w:eastAsia="Times New Roman" w:cs="Arial"/>
          <w:color w:val="FFFFFF"/>
          <w:sz w:val="20"/>
          <w:szCs w:val="20"/>
          <w:lang w:eastAsia="es-CO"/>
        </w:rPr>
      </w:pPr>
      <w:r w:rsidRPr="00035A5E">
        <w:rPr>
          <w:rFonts w:eastAsia="Times New Roman" w:cs="Arial"/>
          <w:b/>
          <w:bCs/>
          <w:color w:val="FFFFFF"/>
          <w:sz w:val="20"/>
          <w:szCs w:val="20"/>
          <w:lang w:eastAsia="es-CO"/>
        </w:rPr>
        <w:t xml:space="preserve">María del </w:t>
      </w:r>
      <w:r w:rsidR="00227BA7" w:rsidRPr="00035A5E">
        <w:rPr>
          <w:rFonts w:eastAsia="Times New Roman" w:cs="Arial"/>
          <w:b/>
          <w:bCs/>
          <w:color w:val="FFFFFF"/>
          <w:sz w:val="20"/>
          <w:szCs w:val="20"/>
          <w:lang w:eastAsia="es-CO"/>
        </w:rPr>
        <w:t>Rosario</w:t>
      </w:r>
      <w:r w:rsidR="009568C3" w:rsidRPr="00035A5E">
        <w:rPr>
          <w:rFonts w:eastAsia="Times New Roman" w:cs="Arial"/>
          <w:b/>
          <w:bCs/>
          <w:color w:val="FFFFFF"/>
          <w:sz w:val="20"/>
          <w:szCs w:val="20"/>
          <w:lang w:eastAsia="es-CO"/>
        </w:rPr>
        <w:t xml:space="preserve"> </w:t>
      </w:r>
      <w:r w:rsidR="00227BA7" w:rsidRPr="00035A5E">
        <w:rPr>
          <w:rFonts w:eastAsia="Times New Roman" w:cs="Arial"/>
          <w:b/>
          <w:bCs/>
          <w:color w:val="FFFFFF"/>
          <w:sz w:val="20"/>
          <w:szCs w:val="20"/>
          <w:lang w:eastAsia="es-CO"/>
        </w:rPr>
        <w:t>Guzmán</w:t>
      </w:r>
    </w:p>
    <w:p w14:paraId="5D05003B" w14:textId="77777777" w:rsidR="009568C3" w:rsidRPr="00035A5E" w:rsidRDefault="009568C3" w:rsidP="009568C3">
      <w:pPr>
        <w:autoSpaceDE w:val="0"/>
        <w:autoSpaceDN w:val="0"/>
        <w:adjustRightInd w:val="0"/>
        <w:spacing w:after="0" w:line="240" w:lineRule="auto"/>
        <w:rPr>
          <w:rFonts w:eastAsia="Times New Roman" w:cs="Arial"/>
          <w:b/>
          <w:bCs/>
          <w:color w:val="FFFFFF"/>
          <w:sz w:val="20"/>
          <w:szCs w:val="20"/>
          <w:lang w:eastAsia="es-CO"/>
        </w:rPr>
      </w:pPr>
      <w:r w:rsidRPr="00035A5E">
        <w:rPr>
          <w:rFonts w:eastAsia="Times New Roman" w:cs="Arial"/>
          <w:b/>
          <w:bCs/>
          <w:color w:val="FFFFFF"/>
          <w:sz w:val="20"/>
          <w:szCs w:val="20"/>
          <w:lang w:eastAsia="es-CO"/>
        </w:rPr>
        <w:t>Ivón Albarracín Gamba</w:t>
      </w:r>
    </w:p>
    <w:p w14:paraId="764B88D6" w14:textId="77777777" w:rsidR="009568C3" w:rsidRPr="00035A5E" w:rsidRDefault="009568C3" w:rsidP="009568C3">
      <w:pPr>
        <w:autoSpaceDE w:val="0"/>
        <w:autoSpaceDN w:val="0"/>
        <w:adjustRightInd w:val="0"/>
        <w:spacing w:after="0" w:line="240" w:lineRule="auto"/>
        <w:rPr>
          <w:rFonts w:eastAsia="Times New Roman" w:cs="Arial"/>
          <w:b/>
          <w:bCs/>
          <w:color w:val="FFFFFF"/>
          <w:sz w:val="20"/>
          <w:szCs w:val="20"/>
          <w:lang w:eastAsia="es-CO"/>
        </w:rPr>
      </w:pPr>
      <w:r w:rsidRPr="00035A5E">
        <w:rPr>
          <w:rFonts w:eastAsia="Times New Roman" w:cs="Arial"/>
          <w:b/>
          <w:bCs/>
          <w:color w:val="FFFFFF"/>
          <w:sz w:val="20"/>
          <w:szCs w:val="20"/>
          <w:lang w:eastAsia="es-CO"/>
        </w:rPr>
        <w:t>Julián López Siabato</w:t>
      </w:r>
    </w:p>
    <w:p w14:paraId="1ABC3721" w14:textId="77777777" w:rsidR="009568C3" w:rsidRPr="00236326" w:rsidRDefault="009568C3" w:rsidP="009568C3">
      <w:pPr>
        <w:autoSpaceDE w:val="0"/>
        <w:autoSpaceDN w:val="0"/>
        <w:adjustRightInd w:val="0"/>
        <w:spacing w:after="0" w:line="240" w:lineRule="auto"/>
        <w:rPr>
          <w:rFonts w:eastAsia="Times New Roman" w:cs="Arial"/>
          <w:b/>
          <w:bCs/>
          <w:color w:val="FFFFFF"/>
          <w:sz w:val="20"/>
          <w:szCs w:val="20"/>
          <w:lang w:eastAsia="es-CO"/>
        </w:rPr>
      </w:pPr>
      <w:r w:rsidRPr="00035A5E">
        <w:rPr>
          <w:rFonts w:eastAsia="Times New Roman" w:cs="Arial"/>
          <w:b/>
          <w:bCs/>
          <w:color w:val="FFFFFF"/>
          <w:sz w:val="20"/>
          <w:szCs w:val="20"/>
          <w:lang w:eastAsia="es-CO"/>
        </w:rPr>
        <w:t>Michelle Baiter Barreto</w:t>
      </w:r>
    </w:p>
    <w:p w14:paraId="2077A63E" w14:textId="2741A143" w:rsidR="00360E30" w:rsidRPr="007C03B4" w:rsidRDefault="00360E30" w:rsidP="00035A5E">
      <w:pPr>
        <w:autoSpaceDE w:val="0"/>
        <w:autoSpaceDN w:val="0"/>
        <w:adjustRightInd w:val="0"/>
        <w:spacing w:after="0" w:line="240" w:lineRule="auto"/>
        <w:rPr>
          <w:rFonts w:cs="Arial"/>
          <w:noProof/>
          <w:lang w:eastAsia="es-CO"/>
        </w:rPr>
      </w:pPr>
      <w:r w:rsidRPr="007C03B4">
        <w:rPr>
          <w:rFonts w:cs="Arial"/>
          <w:noProof/>
          <w:lang w:eastAsia="es-CO"/>
        </w:rPr>
        <w:tab/>
      </w:r>
    </w:p>
    <w:p w14:paraId="1846E1D6" w14:textId="77777777" w:rsidR="00EA20EA" w:rsidRDefault="00EA20EA" w:rsidP="00360E30">
      <w:pPr>
        <w:autoSpaceDE w:val="0"/>
        <w:autoSpaceDN w:val="0"/>
        <w:adjustRightInd w:val="0"/>
        <w:spacing w:after="0" w:line="240" w:lineRule="auto"/>
        <w:rPr>
          <w:rFonts w:cs="Arial"/>
          <w:b/>
          <w:bCs/>
          <w:color w:val="FFFFFF"/>
        </w:rPr>
      </w:pPr>
    </w:p>
    <w:p w14:paraId="6620448F" w14:textId="77777777" w:rsidR="00EA20EA" w:rsidRDefault="00EA20EA" w:rsidP="00360E30">
      <w:pPr>
        <w:autoSpaceDE w:val="0"/>
        <w:autoSpaceDN w:val="0"/>
        <w:adjustRightInd w:val="0"/>
        <w:spacing w:after="0" w:line="240" w:lineRule="auto"/>
        <w:rPr>
          <w:rFonts w:cs="Arial"/>
          <w:b/>
          <w:bCs/>
          <w:color w:val="FFFFFF"/>
        </w:rPr>
      </w:pPr>
    </w:p>
    <w:p w14:paraId="4FDC8A90" w14:textId="77777777" w:rsidR="00EA20EA" w:rsidRDefault="00EA20EA" w:rsidP="00360E30">
      <w:pPr>
        <w:autoSpaceDE w:val="0"/>
        <w:autoSpaceDN w:val="0"/>
        <w:adjustRightInd w:val="0"/>
        <w:spacing w:after="0" w:line="240" w:lineRule="auto"/>
        <w:rPr>
          <w:rFonts w:cs="Arial"/>
          <w:b/>
          <w:bCs/>
          <w:color w:val="FFFFFF"/>
        </w:rPr>
      </w:pPr>
    </w:p>
    <w:p w14:paraId="1245D390" w14:textId="77777777" w:rsidR="00EA20EA" w:rsidRDefault="00EA20EA" w:rsidP="00360E30">
      <w:pPr>
        <w:autoSpaceDE w:val="0"/>
        <w:autoSpaceDN w:val="0"/>
        <w:adjustRightInd w:val="0"/>
        <w:spacing w:after="0" w:line="240" w:lineRule="auto"/>
        <w:rPr>
          <w:rFonts w:cs="Arial"/>
          <w:b/>
          <w:bCs/>
          <w:color w:val="FFFFFF"/>
        </w:rPr>
      </w:pPr>
    </w:p>
    <w:p w14:paraId="60DC4061" w14:textId="77777777" w:rsidR="00EA20EA" w:rsidRDefault="00EA20EA" w:rsidP="00360E30">
      <w:pPr>
        <w:autoSpaceDE w:val="0"/>
        <w:autoSpaceDN w:val="0"/>
        <w:adjustRightInd w:val="0"/>
        <w:spacing w:after="0" w:line="240" w:lineRule="auto"/>
        <w:rPr>
          <w:rFonts w:cs="Arial"/>
          <w:b/>
          <w:bCs/>
          <w:color w:val="FFFFFF"/>
        </w:rPr>
      </w:pPr>
    </w:p>
    <w:p w14:paraId="6F40FC63" w14:textId="3B464BD8" w:rsidR="00E0126C" w:rsidRDefault="00360E30" w:rsidP="00360E30">
      <w:pPr>
        <w:autoSpaceDE w:val="0"/>
        <w:autoSpaceDN w:val="0"/>
        <w:adjustRightInd w:val="0"/>
        <w:spacing w:after="0" w:line="240" w:lineRule="auto"/>
        <w:rPr>
          <w:rFonts w:ascii="Arial" w:eastAsia="Times New Roman" w:hAnsi="Arial" w:cs="Arial"/>
          <w:b/>
          <w:bCs/>
          <w:color w:val="FFFFFF"/>
          <w:sz w:val="28"/>
          <w:szCs w:val="28"/>
          <w:lang w:eastAsia="es-CO"/>
        </w:rPr>
      </w:pPr>
      <w:r w:rsidRPr="007C03B4">
        <w:rPr>
          <w:rFonts w:cs="Arial"/>
          <w:b/>
          <w:bCs/>
          <w:color w:val="FFFFFF"/>
        </w:rPr>
        <w:t>Documento Web 0</w:t>
      </w:r>
      <w:r w:rsidR="00066F0B">
        <w:rPr>
          <w:rFonts w:cs="Arial"/>
          <w:b/>
          <w:bCs/>
          <w:color w:val="FFFFFF"/>
        </w:rPr>
        <w:t>8</w:t>
      </w:r>
      <w:r w:rsidR="00236326">
        <w:rPr>
          <w:rFonts w:cs="Arial"/>
          <w:b/>
          <w:bCs/>
          <w:color w:val="FFFFFF"/>
        </w:rPr>
        <w:t>3</w:t>
      </w:r>
      <w:r w:rsidRPr="007C03B4">
        <w:rPr>
          <w:rFonts w:cs="Arial"/>
          <w:b/>
          <w:bCs/>
          <w:color w:val="FFFFFF"/>
        </w:rPr>
        <w:t xml:space="preserve"> </w:t>
      </w:r>
      <w:r w:rsidR="00425E12">
        <w:rPr>
          <w:rFonts w:cs="Arial"/>
          <w:b/>
          <w:bCs/>
          <w:color w:val="FFFFFF"/>
        </w:rPr>
        <w:t>–</w:t>
      </w:r>
      <w:r w:rsidRPr="007C03B4">
        <w:rPr>
          <w:rFonts w:cs="Arial"/>
          <w:b/>
          <w:bCs/>
          <w:color w:val="FFFFFF"/>
        </w:rPr>
        <w:t xml:space="preserve"> </w:t>
      </w:r>
      <w:r w:rsidR="00635762">
        <w:rPr>
          <w:rFonts w:cs="Arial"/>
          <w:b/>
          <w:noProof/>
          <w:color w:val="FFFFFF" w:themeColor="background1"/>
          <w:lang w:eastAsia="es-CO"/>
        </w:rPr>
        <w:t>Noviembre 2025</w:t>
      </w:r>
      <w:r w:rsidRPr="007C03B4">
        <w:rPr>
          <w:rFonts w:cs="Arial"/>
          <w:b/>
          <w:noProof/>
          <w:color w:val="FFFFFF" w:themeColor="background1"/>
          <w:lang w:eastAsia="es-CO"/>
        </w:rPr>
        <w:t xml:space="preserve"> -</w:t>
      </w:r>
      <w:r w:rsidR="00995BF5">
        <w:rPr>
          <w:lang w:val="es-MX"/>
        </w:rPr>
        <w:br w:type="page"/>
      </w:r>
    </w:p>
    <w:p w14:paraId="5D760F60" w14:textId="2B1F6684" w:rsidR="00995BF5" w:rsidRDefault="00995BF5" w:rsidP="00E0126C">
      <w:pPr>
        <w:rPr>
          <w:lang w:val="es-MX"/>
        </w:rPr>
      </w:pPr>
    </w:p>
    <w:p w14:paraId="09FB88D6" w14:textId="77777777" w:rsidR="00A61622" w:rsidRDefault="00A61622" w:rsidP="00A92E50">
      <w:pPr>
        <w:rPr>
          <w:lang w:val="es-MX"/>
        </w:rPr>
      </w:pPr>
    </w:p>
    <w:p w14:paraId="2237669D" w14:textId="77777777" w:rsidR="00A61622" w:rsidRDefault="00A61622" w:rsidP="00A92E50">
      <w:pPr>
        <w:rPr>
          <w:lang w:val="es-MX"/>
        </w:rPr>
      </w:pPr>
    </w:p>
    <w:p w14:paraId="35BB3AE0" w14:textId="77777777" w:rsidR="00A61622" w:rsidRDefault="00A61622" w:rsidP="00A92E50">
      <w:pPr>
        <w:rPr>
          <w:lang w:val="es-MX"/>
        </w:rPr>
      </w:pPr>
    </w:p>
    <w:p w14:paraId="1F95EE9F" w14:textId="03235DC8" w:rsidR="0011105C" w:rsidRDefault="009055FA" w:rsidP="00995BF5">
      <w:pPr>
        <w:pStyle w:val="Ttulo2"/>
        <w:jc w:val="center"/>
        <w:rPr>
          <w:lang w:val="es-MX"/>
        </w:rPr>
      </w:pPr>
      <w:bookmarkStart w:id="0" w:name="_Toc224633259"/>
      <w:r>
        <w:rPr>
          <w:lang w:val="es-MX"/>
        </w:rPr>
        <w:t>Introducción</w:t>
      </w:r>
      <w:r w:rsidR="008660E9">
        <w:rPr>
          <w:rStyle w:val="Refdenotaalpie"/>
          <w:lang w:val="es-MX"/>
        </w:rPr>
        <w:footnoteReference w:id="1"/>
      </w:r>
      <w:r w:rsidR="001520A2">
        <w:rPr>
          <w:rStyle w:val="Refdenotaalpie"/>
          <w:lang w:val="es-MX"/>
        </w:rPr>
        <w:footnoteReference w:id="2"/>
      </w:r>
      <w:bookmarkEnd w:id="0"/>
    </w:p>
    <w:p w14:paraId="39828F8B" w14:textId="77777777" w:rsidR="009B7776" w:rsidRDefault="009B7776" w:rsidP="009B7776">
      <w:pPr>
        <w:rPr>
          <w:lang w:val="es-MX"/>
        </w:rPr>
      </w:pPr>
    </w:p>
    <w:p w14:paraId="2176A7B1" w14:textId="123BB851" w:rsidR="009055FA" w:rsidRPr="00345915" w:rsidRDefault="009055FA" w:rsidP="00204971">
      <w:pPr>
        <w:rPr>
          <w:lang w:val="es-MX"/>
        </w:rPr>
      </w:pPr>
      <w:r>
        <w:rPr>
          <w:lang w:val="es-MX"/>
        </w:rPr>
        <w:t xml:space="preserve">Este documento fue </w:t>
      </w:r>
      <w:r w:rsidR="00425D76">
        <w:rPr>
          <w:lang w:val="es-MX"/>
        </w:rPr>
        <w:t>elaborado</w:t>
      </w:r>
      <w:r>
        <w:rPr>
          <w:lang w:val="es-MX"/>
        </w:rPr>
        <w:t xml:space="preserve"> por la Dirección de Impuestos y Aduanas Nacionales </w:t>
      </w:r>
      <w:r w:rsidR="008046A7">
        <w:rPr>
          <w:lang w:val="es-MX"/>
        </w:rPr>
        <w:t>(</w:t>
      </w:r>
      <w:r w:rsidR="00425D76">
        <w:rPr>
          <w:lang w:val="es-MX"/>
        </w:rPr>
        <w:t>DIAN</w:t>
      </w:r>
      <w:r w:rsidR="008046A7">
        <w:rPr>
          <w:lang w:val="es-MX"/>
        </w:rPr>
        <w:t>)</w:t>
      </w:r>
      <w:r w:rsidR="00425D76">
        <w:rPr>
          <w:lang w:val="es-MX"/>
        </w:rPr>
        <w:t xml:space="preserve"> </w:t>
      </w:r>
      <w:r>
        <w:rPr>
          <w:lang w:val="es-MX"/>
        </w:rPr>
        <w:t>para el Marco Fiscal de Mediano Plazo del año 202</w:t>
      </w:r>
      <w:r w:rsidR="00F547D7">
        <w:rPr>
          <w:lang w:val="es-MX"/>
        </w:rPr>
        <w:t>4</w:t>
      </w:r>
      <w:r>
        <w:rPr>
          <w:lang w:val="es-MX"/>
        </w:rPr>
        <w:t xml:space="preserve">, </w:t>
      </w:r>
      <w:r w:rsidR="00425D76">
        <w:rPr>
          <w:lang w:val="es-MX"/>
        </w:rPr>
        <w:t xml:space="preserve">y </w:t>
      </w:r>
      <w:r>
        <w:rPr>
          <w:lang w:val="es-MX"/>
        </w:rPr>
        <w:t xml:space="preserve">revisado por el Ministerio de Hacienda y Crédito Público, en cumplimiento </w:t>
      </w:r>
      <w:r w:rsidR="00425D76">
        <w:rPr>
          <w:lang w:val="es-MX"/>
        </w:rPr>
        <w:t xml:space="preserve">de lo dispuesto en </w:t>
      </w:r>
      <w:r>
        <w:rPr>
          <w:lang w:val="es-MX"/>
        </w:rPr>
        <w:t xml:space="preserve">el artículo 1 de la Ley </w:t>
      </w:r>
      <w:r w:rsidR="006779A7" w:rsidRPr="00345915">
        <w:rPr>
          <w:lang w:val="es-MX"/>
        </w:rPr>
        <w:t>819</w:t>
      </w:r>
      <w:r w:rsidRPr="00345915">
        <w:rPr>
          <w:lang w:val="es-MX"/>
        </w:rPr>
        <w:t xml:space="preserve"> de 20</w:t>
      </w:r>
      <w:r w:rsidR="00662FBA" w:rsidRPr="00345915">
        <w:rPr>
          <w:lang w:val="es-MX"/>
        </w:rPr>
        <w:t>0</w:t>
      </w:r>
      <w:r w:rsidRPr="00345915">
        <w:rPr>
          <w:lang w:val="es-MX"/>
        </w:rPr>
        <w:t>3.</w:t>
      </w:r>
    </w:p>
    <w:p w14:paraId="442F5411" w14:textId="77777777" w:rsidR="00491F71" w:rsidRDefault="00B8010D" w:rsidP="00204971">
      <w:pPr>
        <w:rPr>
          <w:lang w:val="es-MX"/>
        </w:rPr>
      </w:pPr>
      <w:r>
        <w:rPr>
          <w:lang w:val="es-MX"/>
        </w:rPr>
        <w:t xml:space="preserve">El informe contiene la estimación del costo fiscal de las exenciones, exclusiones, deducciones, ingresos no constitutivos de renta ni ganancia ocasional, tarifas diferenciales o descuentos tributarios, identificados como gasto tributario a partir del sistema tributario de referencia o </w:t>
      </w:r>
      <w:r w:rsidRPr="00425D76">
        <w:rPr>
          <w:i/>
          <w:iCs/>
          <w:lang w:val="es-MX"/>
        </w:rPr>
        <w:t>benchmark</w:t>
      </w:r>
      <w:r w:rsidR="00425D76" w:rsidRPr="00345915">
        <w:rPr>
          <w:i/>
          <w:iCs/>
          <w:lang w:val="es-MX"/>
        </w:rPr>
        <w:t xml:space="preserve">, </w:t>
      </w:r>
      <w:r w:rsidR="000C2661" w:rsidRPr="00345915">
        <w:rPr>
          <w:lang w:val="es-MX"/>
        </w:rPr>
        <w:t>elaborado</w:t>
      </w:r>
      <w:r w:rsidR="006779A7" w:rsidRPr="00345915">
        <w:rPr>
          <w:lang w:val="es-MX"/>
        </w:rPr>
        <w:t xml:space="preserve"> en el marco del trabajo conjunto con la Organización para la Cooperación y el Desarrollo </w:t>
      </w:r>
      <w:r w:rsidR="005478FD">
        <w:rPr>
          <w:lang w:val="es-MX"/>
        </w:rPr>
        <w:t xml:space="preserve">Económicos </w:t>
      </w:r>
      <w:r w:rsidR="006779A7" w:rsidRPr="00345915">
        <w:rPr>
          <w:lang w:val="es-MX"/>
        </w:rPr>
        <w:t>(OCDE)</w:t>
      </w:r>
      <w:r w:rsidR="006779A7" w:rsidRPr="00345915">
        <w:t>, la Dirección de Impuestos y Aduanas Nacionales (DIAN) y el Ministerio de Hacienda y Crédito Público (MHCP) entre 2021 y 2022</w:t>
      </w:r>
      <w:r w:rsidR="009055FA" w:rsidRPr="00345915">
        <w:rPr>
          <w:lang w:val="es-MX"/>
        </w:rPr>
        <w:t xml:space="preserve">. </w:t>
      </w:r>
    </w:p>
    <w:p w14:paraId="6185CFA3" w14:textId="3081E2D0" w:rsidR="00491F71" w:rsidRDefault="00491F71" w:rsidP="00204971">
      <w:pPr>
        <w:rPr>
          <w:lang w:val="es-MX"/>
        </w:rPr>
      </w:pPr>
      <w:r w:rsidRPr="00491F71">
        <w:t>Cabe precisar que esta es la primera vez que el informe adopta el marco de referencia como eje metodológico transversal para la estimación de los costos fiscales</w:t>
      </w:r>
      <w:r w:rsidR="00EA20EA">
        <w:t>, así como la incorporación de nuevas fuentes de información</w:t>
      </w:r>
      <w:r w:rsidRPr="00491F71">
        <w:t>. Como consecuencia, el tiempo de rezago entre el año de las estimaciones y el año gravable en curso es de dos años para los impuestos sobre la renta y sobre las ventas (IVA), a diferencia del rezago de un año que se presentaba anteriormente. Lo anterior implica que lo contemplado en este documento incorpora nuevas estimaciones para el año gravable 2022 que representan una mejora metodológica en comparación con lo dispuesto en el informe preparado para el Marco Fiscal de Mediano Plazo de 2023.</w:t>
      </w:r>
    </w:p>
    <w:p w14:paraId="7FFBA753" w14:textId="66B8FB19" w:rsidR="000C2661" w:rsidRDefault="00705487" w:rsidP="00204971">
      <w:pPr>
        <w:rPr>
          <w:lang w:val="es-MX"/>
        </w:rPr>
      </w:pPr>
      <w:r w:rsidRPr="00345915">
        <w:rPr>
          <w:lang w:val="es-MX"/>
        </w:rPr>
        <w:t>E</w:t>
      </w:r>
      <w:r w:rsidR="000C2661" w:rsidRPr="00345915">
        <w:rPr>
          <w:lang w:val="es-MX"/>
        </w:rPr>
        <w:t>ste documento presenta e</w:t>
      </w:r>
      <w:r w:rsidR="00FE360B" w:rsidRPr="00345915">
        <w:rPr>
          <w:lang w:val="es-MX"/>
        </w:rPr>
        <w:t>l</w:t>
      </w:r>
      <w:r w:rsidR="000C2661" w:rsidRPr="00345915">
        <w:rPr>
          <w:lang w:val="es-MX"/>
        </w:rPr>
        <w:t xml:space="preserve"> costo fiscal del</w:t>
      </w:r>
      <w:r w:rsidR="00FE360B" w:rsidRPr="00345915">
        <w:rPr>
          <w:lang w:val="es-MX"/>
        </w:rPr>
        <w:t xml:space="preserve"> gasto tributario en el impuesto sobre la renta y el impuesto sobre el valor agregado (IVA)</w:t>
      </w:r>
      <w:r w:rsidR="006779A7" w:rsidRPr="00345915">
        <w:rPr>
          <w:lang w:val="es-MX"/>
        </w:rPr>
        <w:t xml:space="preserve"> – años gravables 202</w:t>
      </w:r>
      <w:r w:rsidR="00C861D2" w:rsidRPr="00345915">
        <w:rPr>
          <w:lang w:val="es-MX"/>
        </w:rPr>
        <w:t>1</w:t>
      </w:r>
      <w:r w:rsidR="006779A7" w:rsidRPr="00345915">
        <w:rPr>
          <w:lang w:val="es-MX"/>
        </w:rPr>
        <w:t xml:space="preserve"> y 202</w:t>
      </w:r>
      <w:r w:rsidR="00C861D2" w:rsidRPr="00345915">
        <w:rPr>
          <w:lang w:val="es-MX"/>
        </w:rPr>
        <w:t>2</w:t>
      </w:r>
      <w:r w:rsidR="006779A7" w:rsidRPr="00345915">
        <w:rPr>
          <w:lang w:val="es-MX"/>
        </w:rPr>
        <w:t xml:space="preserve"> –, en el Impuesto Nacional a la Gasolina y el ACPM – años gravables 202</w:t>
      </w:r>
      <w:r w:rsidR="00C861D2" w:rsidRPr="00345915">
        <w:rPr>
          <w:lang w:val="es-MX"/>
        </w:rPr>
        <w:t>2</w:t>
      </w:r>
      <w:r w:rsidR="006779A7" w:rsidRPr="00345915">
        <w:rPr>
          <w:lang w:val="es-MX"/>
        </w:rPr>
        <w:t xml:space="preserve"> y 202</w:t>
      </w:r>
      <w:r w:rsidR="00C861D2" w:rsidRPr="00345915">
        <w:rPr>
          <w:lang w:val="es-MX"/>
        </w:rPr>
        <w:t>3</w:t>
      </w:r>
      <w:r w:rsidR="006779A7" w:rsidRPr="00345915">
        <w:rPr>
          <w:lang w:val="es-MX"/>
        </w:rPr>
        <w:t xml:space="preserve"> –, y el Impuesto Nacional al Carbono – años gravables 202</w:t>
      </w:r>
      <w:r w:rsidR="00C861D2" w:rsidRPr="00345915">
        <w:rPr>
          <w:lang w:val="es-MX"/>
        </w:rPr>
        <w:t>2</w:t>
      </w:r>
      <w:r w:rsidR="006779A7" w:rsidRPr="00345915">
        <w:rPr>
          <w:lang w:val="es-MX"/>
        </w:rPr>
        <w:t xml:space="preserve"> y 202</w:t>
      </w:r>
      <w:r w:rsidR="00C861D2" w:rsidRPr="00345915">
        <w:rPr>
          <w:lang w:val="es-MX"/>
        </w:rPr>
        <w:t>3</w:t>
      </w:r>
      <w:r w:rsidR="006779A7" w:rsidRPr="00345915">
        <w:rPr>
          <w:lang w:val="es-MX"/>
        </w:rPr>
        <w:t xml:space="preserve"> –.</w:t>
      </w:r>
      <w:r w:rsidR="000C2661">
        <w:rPr>
          <w:lang w:val="es-MX"/>
        </w:rPr>
        <w:br w:type="page"/>
      </w:r>
    </w:p>
    <w:p w14:paraId="45EECEAF" w14:textId="77777777" w:rsidR="00A92E50" w:rsidRDefault="00A92E50" w:rsidP="00A92E50">
      <w:bookmarkStart w:id="1" w:name="_Toc201763398"/>
    </w:p>
    <w:p w14:paraId="4DC0AFC1" w14:textId="77777777" w:rsidR="00A92E50" w:rsidRDefault="00A92E50" w:rsidP="00A92E50"/>
    <w:p w14:paraId="378D1C62" w14:textId="575A8009" w:rsidR="00A92E50" w:rsidRDefault="00A92E50" w:rsidP="00A92E50">
      <w:pPr>
        <w:pStyle w:val="Ttulo2"/>
        <w:jc w:val="center"/>
      </w:pPr>
      <w:bookmarkStart w:id="2" w:name="_Toc224633260"/>
      <w:r>
        <w:t>Tabla Contenido</w:t>
      </w:r>
      <w:bookmarkEnd w:id="2"/>
    </w:p>
    <w:p w14:paraId="375FE5D4" w14:textId="77777777" w:rsidR="00290BAD" w:rsidRDefault="00290BAD" w:rsidP="00A92E50"/>
    <w:p w14:paraId="7E64C640" w14:textId="2DEAA509" w:rsidR="00784233" w:rsidRDefault="007C4647">
      <w:pPr>
        <w:pStyle w:val="TDC2"/>
        <w:tabs>
          <w:tab w:val="right" w:leader="dot" w:pos="8828"/>
        </w:tabs>
        <w:rPr>
          <w:rFonts w:asciiTheme="minorHAnsi" w:eastAsiaTheme="minorEastAsia" w:hAnsiTheme="minorHAnsi"/>
          <w:b w:val="0"/>
          <w:noProof/>
          <w:lang w:eastAsia="es-CO"/>
        </w:rPr>
      </w:pPr>
      <w:r>
        <w:rPr>
          <w:b w:val="0"/>
        </w:rPr>
        <w:fldChar w:fldCharType="begin"/>
      </w:r>
      <w:r>
        <w:rPr>
          <w:b w:val="0"/>
        </w:rPr>
        <w:instrText xml:space="preserve"> TOC \o "1-5" \h \z \u </w:instrText>
      </w:r>
      <w:r>
        <w:rPr>
          <w:b w:val="0"/>
        </w:rPr>
        <w:fldChar w:fldCharType="separate"/>
      </w:r>
      <w:hyperlink w:anchor="_Toc224633259" w:history="1">
        <w:r w:rsidR="00784233" w:rsidRPr="00F97F90">
          <w:rPr>
            <w:rStyle w:val="Hipervnculo"/>
            <w:noProof/>
            <w:lang w:val="es-MX"/>
          </w:rPr>
          <w:t>Introducción</w:t>
        </w:r>
        <w:r w:rsidR="00784233">
          <w:rPr>
            <w:noProof/>
            <w:webHidden/>
          </w:rPr>
          <w:tab/>
        </w:r>
        <w:r w:rsidR="00784233">
          <w:rPr>
            <w:noProof/>
            <w:webHidden/>
          </w:rPr>
          <w:fldChar w:fldCharType="begin"/>
        </w:r>
        <w:r w:rsidR="00784233">
          <w:rPr>
            <w:noProof/>
            <w:webHidden/>
          </w:rPr>
          <w:instrText xml:space="preserve"> PAGEREF _Toc224633259 \h </w:instrText>
        </w:r>
        <w:r w:rsidR="00784233">
          <w:rPr>
            <w:noProof/>
            <w:webHidden/>
          </w:rPr>
        </w:r>
        <w:r w:rsidR="00784233">
          <w:rPr>
            <w:noProof/>
            <w:webHidden/>
          </w:rPr>
          <w:fldChar w:fldCharType="separate"/>
        </w:r>
        <w:r w:rsidR="00784233">
          <w:rPr>
            <w:noProof/>
            <w:webHidden/>
          </w:rPr>
          <w:t>2</w:t>
        </w:r>
        <w:r w:rsidR="00784233">
          <w:rPr>
            <w:noProof/>
            <w:webHidden/>
          </w:rPr>
          <w:fldChar w:fldCharType="end"/>
        </w:r>
      </w:hyperlink>
    </w:p>
    <w:p w14:paraId="7B1671E5" w14:textId="53B068FB" w:rsidR="00784233" w:rsidRDefault="00000000">
      <w:pPr>
        <w:pStyle w:val="TDC2"/>
        <w:tabs>
          <w:tab w:val="right" w:leader="dot" w:pos="8828"/>
        </w:tabs>
        <w:rPr>
          <w:rFonts w:asciiTheme="minorHAnsi" w:eastAsiaTheme="minorEastAsia" w:hAnsiTheme="minorHAnsi"/>
          <w:b w:val="0"/>
          <w:noProof/>
          <w:lang w:eastAsia="es-CO"/>
        </w:rPr>
      </w:pPr>
      <w:hyperlink w:anchor="_Toc224633260" w:history="1">
        <w:r w:rsidR="00784233" w:rsidRPr="00F97F90">
          <w:rPr>
            <w:rStyle w:val="Hipervnculo"/>
            <w:noProof/>
          </w:rPr>
          <w:t>Tabla Contenido</w:t>
        </w:r>
        <w:r w:rsidR="00784233">
          <w:rPr>
            <w:noProof/>
            <w:webHidden/>
          </w:rPr>
          <w:tab/>
        </w:r>
        <w:r w:rsidR="00784233">
          <w:rPr>
            <w:noProof/>
            <w:webHidden/>
          </w:rPr>
          <w:fldChar w:fldCharType="begin"/>
        </w:r>
        <w:r w:rsidR="00784233">
          <w:rPr>
            <w:noProof/>
            <w:webHidden/>
          </w:rPr>
          <w:instrText xml:space="preserve"> PAGEREF _Toc224633260 \h </w:instrText>
        </w:r>
        <w:r w:rsidR="00784233">
          <w:rPr>
            <w:noProof/>
            <w:webHidden/>
          </w:rPr>
        </w:r>
        <w:r w:rsidR="00784233">
          <w:rPr>
            <w:noProof/>
            <w:webHidden/>
          </w:rPr>
          <w:fldChar w:fldCharType="separate"/>
        </w:r>
        <w:r w:rsidR="00784233">
          <w:rPr>
            <w:noProof/>
            <w:webHidden/>
          </w:rPr>
          <w:t>3</w:t>
        </w:r>
        <w:r w:rsidR="00784233">
          <w:rPr>
            <w:noProof/>
            <w:webHidden/>
          </w:rPr>
          <w:fldChar w:fldCharType="end"/>
        </w:r>
      </w:hyperlink>
    </w:p>
    <w:p w14:paraId="271C46B8" w14:textId="22F3BA0F" w:rsidR="00784233" w:rsidRDefault="00000000">
      <w:pPr>
        <w:pStyle w:val="TDC2"/>
        <w:tabs>
          <w:tab w:val="right" w:leader="dot" w:pos="8828"/>
        </w:tabs>
        <w:rPr>
          <w:rFonts w:asciiTheme="minorHAnsi" w:eastAsiaTheme="minorEastAsia" w:hAnsiTheme="minorHAnsi"/>
          <w:b w:val="0"/>
          <w:noProof/>
          <w:lang w:eastAsia="es-CO"/>
        </w:rPr>
      </w:pPr>
      <w:hyperlink w:anchor="_Toc224633261" w:history="1">
        <w:r w:rsidR="00784233" w:rsidRPr="00F97F90">
          <w:rPr>
            <w:rStyle w:val="Hipervnculo"/>
            <w:noProof/>
          </w:rPr>
          <w:t>Índice de tablas</w:t>
        </w:r>
        <w:r w:rsidR="00784233">
          <w:rPr>
            <w:noProof/>
            <w:webHidden/>
          </w:rPr>
          <w:tab/>
        </w:r>
        <w:r w:rsidR="00784233">
          <w:rPr>
            <w:noProof/>
            <w:webHidden/>
          </w:rPr>
          <w:fldChar w:fldCharType="begin"/>
        </w:r>
        <w:r w:rsidR="00784233">
          <w:rPr>
            <w:noProof/>
            <w:webHidden/>
          </w:rPr>
          <w:instrText xml:space="preserve"> PAGEREF _Toc224633261 \h </w:instrText>
        </w:r>
        <w:r w:rsidR="00784233">
          <w:rPr>
            <w:noProof/>
            <w:webHidden/>
          </w:rPr>
        </w:r>
        <w:r w:rsidR="00784233">
          <w:rPr>
            <w:noProof/>
            <w:webHidden/>
          </w:rPr>
          <w:fldChar w:fldCharType="separate"/>
        </w:r>
        <w:r w:rsidR="00784233">
          <w:rPr>
            <w:noProof/>
            <w:webHidden/>
          </w:rPr>
          <w:t>3</w:t>
        </w:r>
        <w:r w:rsidR="00784233">
          <w:rPr>
            <w:noProof/>
            <w:webHidden/>
          </w:rPr>
          <w:fldChar w:fldCharType="end"/>
        </w:r>
      </w:hyperlink>
    </w:p>
    <w:p w14:paraId="02D1C34F" w14:textId="1E731857" w:rsidR="00784233" w:rsidRDefault="00000000">
      <w:pPr>
        <w:pStyle w:val="TDC2"/>
        <w:tabs>
          <w:tab w:val="right" w:leader="dot" w:pos="8828"/>
        </w:tabs>
        <w:rPr>
          <w:rFonts w:asciiTheme="minorHAnsi" w:eastAsiaTheme="minorEastAsia" w:hAnsiTheme="minorHAnsi"/>
          <w:b w:val="0"/>
          <w:noProof/>
          <w:lang w:eastAsia="es-CO"/>
        </w:rPr>
      </w:pPr>
      <w:hyperlink w:anchor="_Toc224633262" w:history="1">
        <w:r w:rsidR="00784233" w:rsidRPr="00F97F90">
          <w:rPr>
            <w:rStyle w:val="Hipervnculo"/>
            <w:noProof/>
          </w:rPr>
          <w:t>Apéndice 2. Gasto tributario</w:t>
        </w:r>
        <w:r w:rsidR="00784233">
          <w:rPr>
            <w:noProof/>
            <w:webHidden/>
          </w:rPr>
          <w:tab/>
        </w:r>
        <w:r w:rsidR="00784233">
          <w:rPr>
            <w:noProof/>
            <w:webHidden/>
          </w:rPr>
          <w:fldChar w:fldCharType="begin"/>
        </w:r>
        <w:r w:rsidR="00784233">
          <w:rPr>
            <w:noProof/>
            <w:webHidden/>
          </w:rPr>
          <w:instrText xml:space="preserve"> PAGEREF _Toc224633262 \h </w:instrText>
        </w:r>
        <w:r w:rsidR="00784233">
          <w:rPr>
            <w:noProof/>
            <w:webHidden/>
          </w:rPr>
        </w:r>
        <w:r w:rsidR="00784233">
          <w:rPr>
            <w:noProof/>
            <w:webHidden/>
          </w:rPr>
          <w:fldChar w:fldCharType="separate"/>
        </w:r>
        <w:r w:rsidR="00784233">
          <w:rPr>
            <w:noProof/>
            <w:webHidden/>
          </w:rPr>
          <w:t>4</w:t>
        </w:r>
        <w:r w:rsidR="00784233">
          <w:rPr>
            <w:noProof/>
            <w:webHidden/>
          </w:rPr>
          <w:fldChar w:fldCharType="end"/>
        </w:r>
      </w:hyperlink>
    </w:p>
    <w:p w14:paraId="443E6599" w14:textId="3AC7CBA2" w:rsidR="00784233" w:rsidRDefault="00000000">
      <w:pPr>
        <w:pStyle w:val="TDC3"/>
        <w:tabs>
          <w:tab w:val="right" w:leader="dot" w:pos="8828"/>
        </w:tabs>
        <w:rPr>
          <w:rFonts w:asciiTheme="minorHAnsi" w:eastAsiaTheme="minorEastAsia" w:hAnsiTheme="minorHAnsi"/>
          <w:noProof/>
          <w:lang w:eastAsia="es-CO"/>
        </w:rPr>
      </w:pPr>
      <w:hyperlink w:anchor="_Toc224633263" w:history="1">
        <w:r w:rsidR="00784233" w:rsidRPr="00F97F90">
          <w:rPr>
            <w:rStyle w:val="Hipervnculo"/>
            <w:noProof/>
          </w:rPr>
          <w:t>A.2.1 El costo fiscal del gasto tributario: identificación, medición y divulgación a partir de un marco de referencia (</w:t>
        </w:r>
        <w:r w:rsidR="00784233" w:rsidRPr="00F97F90">
          <w:rPr>
            <w:rStyle w:val="Hipervnculo"/>
            <w:i/>
            <w:iCs/>
            <w:noProof/>
          </w:rPr>
          <w:t>Benchmark</w:t>
        </w:r>
        <w:r w:rsidR="00784233" w:rsidRPr="00F97F90">
          <w:rPr>
            <w:rStyle w:val="Hipervnculo"/>
            <w:noProof/>
          </w:rPr>
          <w:t>)</w:t>
        </w:r>
        <w:r w:rsidR="00784233">
          <w:rPr>
            <w:noProof/>
            <w:webHidden/>
          </w:rPr>
          <w:tab/>
        </w:r>
        <w:r w:rsidR="00784233">
          <w:rPr>
            <w:noProof/>
            <w:webHidden/>
          </w:rPr>
          <w:fldChar w:fldCharType="begin"/>
        </w:r>
        <w:r w:rsidR="00784233">
          <w:rPr>
            <w:noProof/>
            <w:webHidden/>
          </w:rPr>
          <w:instrText xml:space="preserve"> PAGEREF _Toc224633263 \h </w:instrText>
        </w:r>
        <w:r w:rsidR="00784233">
          <w:rPr>
            <w:noProof/>
            <w:webHidden/>
          </w:rPr>
        </w:r>
        <w:r w:rsidR="00784233">
          <w:rPr>
            <w:noProof/>
            <w:webHidden/>
          </w:rPr>
          <w:fldChar w:fldCharType="separate"/>
        </w:r>
        <w:r w:rsidR="00784233">
          <w:rPr>
            <w:noProof/>
            <w:webHidden/>
          </w:rPr>
          <w:t>4</w:t>
        </w:r>
        <w:r w:rsidR="00784233">
          <w:rPr>
            <w:noProof/>
            <w:webHidden/>
          </w:rPr>
          <w:fldChar w:fldCharType="end"/>
        </w:r>
      </w:hyperlink>
    </w:p>
    <w:p w14:paraId="28CC6565" w14:textId="549C081E" w:rsidR="00784233" w:rsidRDefault="00000000">
      <w:pPr>
        <w:pStyle w:val="TDC3"/>
        <w:tabs>
          <w:tab w:val="right" w:leader="dot" w:pos="8828"/>
        </w:tabs>
        <w:rPr>
          <w:rFonts w:asciiTheme="minorHAnsi" w:eastAsiaTheme="minorEastAsia" w:hAnsiTheme="minorHAnsi"/>
          <w:noProof/>
          <w:lang w:eastAsia="es-CO"/>
        </w:rPr>
      </w:pPr>
      <w:hyperlink w:anchor="_Toc224633264" w:history="1">
        <w:r w:rsidR="00784233" w:rsidRPr="00F97F90">
          <w:rPr>
            <w:rStyle w:val="Hipervnculo"/>
            <w:noProof/>
          </w:rPr>
          <w:t>A.2.2 Gasto Tributario y su costo fiscal para el impuesto de renta y el IVA, 2021 y 2022.</w:t>
        </w:r>
        <w:r w:rsidR="00784233">
          <w:rPr>
            <w:noProof/>
            <w:webHidden/>
          </w:rPr>
          <w:tab/>
        </w:r>
        <w:r w:rsidR="00784233">
          <w:rPr>
            <w:noProof/>
            <w:webHidden/>
          </w:rPr>
          <w:fldChar w:fldCharType="begin"/>
        </w:r>
        <w:r w:rsidR="00784233">
          <w:rPr>
            <w:noProof/>
            <w:webHidden/>
          </w:rPr>
          <w:instrText xml:space="preserve"> PAGEREF _Toc224633264 \h </w:instrText>
        </w:r>
        <w:r w:rsidR="00784233">
          <w:rPr>
            <w:noProof/>
            <w:webHidden/>
          </w:rPr>
        </w:r>
        <w:r w:rsidR="00784233">
          <w:rPr>
            <w:noProof/>
            <w:webHidden/>
          </w:rPr>
          <w:fldChar w:fldCharType="separate"/>
        </w:r>
        <w:r w:rsidR="00784233">
          <w:rPr>
            <w:noProof/>
            <w:webHidden/>
          </w:rPr>
          <w:t>5</w:t>
        </w:r>
        <w:r w:rsidR="00784233">
          <w:rPr>
            <w:noProof/>
            <w:webHidden/>
          </w:rPr>
          <w:fldChar w:fldCharType="end"/>
        </w:r>
      </w:hyperlink>
    </w:p>
    <w:p w14:paraId="445A90C2" w14:textId="2CD002A4" w:rsidR="00784233" w:rsidRDefault="00000000">
      <w:pPr>
        <w:pStyle w:val="TDC3"/>
        <w:tabs>
          <w:tab w:val="right" w:leader="dot" w:pos="8828"/>
        </w:tabs>
        <w:rPr>
          <w:rFonts w:asciiTheme="minorHAnsi" w:eastAsiaTheme="minorEastAsia" w:hAnsiTheme="minorHAnsi"/>
          <w:noProof/>
          <w:lang w:eastAsia="es-CO"/>
        </w:rPr>
      </w:pPr>
      <w:hyperlink w:anchor="_Toc224633265" w:history="1">
        <w:r w:rsidR="00784233" w:rsidRPr="00F97F90">
          <w:rPr>
            <w:rStyle w:val="Hipervnculo"/>
            <w:noProof/>
          </w:rPr>
          <w:t>A.2.3. Costo Fiscal de los Galones exentos del Impuesto Nacional a la Gasolina y el ACPM y de los metros cúbicos o galones no gravados en el Impuesto Nacional al Carbono</w:t>
        </w:r>
        <w:r w:rsidR="00784233">
          <w:rPr>
            <w:noProof/>
            <w:webHidden/>
          </w:rPr>
          <w:tab/>
        </w:r>
        <w:r w:rsidR="00784233">
          <w:rPr>
            <w:noProof/>
            <w:webHidden/>
          </w:rPr>
          <w:fldChar w:fldCharType="begin"/>
        </w:r>
        <w:r w:rsidR="00784233">
          <w:rPr>
            <w:noProof/>
            <w:webHidden/>
          </w:rPr>
          <w:instrText xml:space="preserve"> PAGEREF _Toc224633265 \h </w:instrText>
        </w:r>
        <w:r w:rsidR="00784233">
          <w:rPr>
            <w:noProof/>
            <w:webHidden/>
          </w:rPr>
        </w:r>
        <w:r w:rsidR="00784233">
          <w:rPr>
            <w:noProof/>
            <w:webHidden/>
          </w:rPr>
          <w:fldChar w:fldCharType="separate"/>
        </w:r>
        <w:r w:rsidR="00784233">
          <w:rPr>
            <w:noProof/>
            <w:webHidden/>
          </w:rPr>
          <w:t>7</w:t>
        </w:r>
        <w:r w:rsidR="00784233">
          <w:rPr>
            <w:noProof/>
            <w:webHidden/>
          </w:rPr>
          <w:fldChar w:fldCharType="end"/>
        </w:r>
      </w:hyperlink>
    </w:p>
    <w:p w14:paraId="3E11CDB8" w14:textId="61703DBD" w:rsidR="00EA5F7F" w:rsidRDefault="007C4647" w:rsidP="00A92E50">
      <w:pPr>
        <w:rPr>
          <w:b/>
        </w:rPr>
      </w:pPr>
      <w:r>
        <w:rPr>
          <w:b/>
        </w:rPr>
        <w:fldChar w:fldCharType="end"/>
      </w:r>
    </w:p>
    <w:p w14:paraId="3B46F553" w14:textId="77777777" w:rsidR="00290BAD" w:rsidRDefault="00290BAD" w:rsidP="00A92E50">
      <w:pPr>
        <w:rPr>
          <w:b/>
        </w:rPr>
      </w:pPr>
    </w:p>
    <w:p w14:paraId="38A76DC7" w14:textId="77777777" w:rsidR="00EA5F7F" w:rsidRDefault="00EA5F7F" w:rsidP="00290BAD">
      <w:pPr>
        <w:pStyle w:val="Ttulo2"/>
        <w:jc w:val="center"/>
      </w:pPr>
      <w:bookmarkStart w:id="3" w:name="_Toc213403877"/>
      <w:bookmarkStart w:id="4" w:name="_Toc224633261"/>
      <w:r>
        <w:t>Índice de tablas</w:t>
      </w:r>
      <w:bookmarkEnd w:id="3"/>
      <w:bookmarkEnd w:id="4"/>
    </w:p>
    <w:p w14:paraId="27B35B60" w14:textId="77777777" w:rsidR="00290BAD" w:rsidRPr="00290BAD" w:rsidRDefault="00290BAD" w:rsidP="00290BAD"/>
    <w:p w14:paraId="44038295" w14:textId="1E02CD20" w:rsidR="00784233" w:rsidRDefault="00290BAD">
      <w:pPr>
        <w:pStyle w:val="Tabladeilustraciones"/>
        <w:tabs>
          <w:tab w:val="right" w:leader="dot" w:pos="8828"/>
        </w:tabs>
        <w:rPr>
          <w:rFonts w:asciiTheme="minorHAnsi" w:eastAsiaTheme="minorEastAsia" w:hAnsiTheme="minorHAnsi"/>
          <w:noProof/>
          <w:lang w:eastAsia="es-CO"/>
        </w:rPr>
      </w:pPr>
      <w:r>
        <w:fldChar w:fldCharType="begin"/>
      </w:r>
      <w:r>
        <w:instrText xml:space="preserve"> TOC \h \z \c "Tabla" </w:instrText>
      </w:r>
      <w:r>
        <w:fldChar w:fldCharType="separate"/>
      </w:r>
      <w:hyperlink w:anchor="_Toc224633269" w:history="1">
        <w:r w:rsidR="00784233" w:rsidRPr="0004127C">
          <w:rPr>
            <w:rStyle w:val="Hipervnculo"/>
            <w:noProof/>
          </w:rPr>
          <w:t>Tabla A.2.1 Costo fiscal de los gastos tributarios en el impuesto sobre la renta e IVA-años gravables 2021 y 2022</w:t>
        </w:r>
        <w:r w:rsidR="00784233">
          <w:rPr>
            <w:noProof/>
            <w:webHidden/>
          </w:rPr>
          <w:tab/>
        </w:r>
        <w:r w:rsidR="00784233">
          <w:rPr>
            <w:noProof/>
            <w:webHidden/>
          </w:rPr>
          <w:fldChar w:fldCharType="begin"/>
        </w:r>
        <w:r w:rsidR="00784233">
          <w:rPr>
            <w:noProof/>
            <w:webHidden/>
          </w:rPr>
          <w:instrText xml:space="preserve"> PAGEREF _Toc224633269 \h </w:instrText>
        </w:r>
        <w:r w:rsidR="00784233">
          <w:rPr>
            <w:noProof/>
            <w:webHidden/>
          </w:rPr>
        </w:r>
        <w:r w:rsidR="00784233">
          <w:rPr>
            <w:noProof/>
            <w:webHidden/>
          </w:rPr>
          <w:fldChar w:fldCharType="separate"/>
        </w:r>
        <w:r w:rsidR="00784233">
          <w:rPr>
            <w:noProof/>
            <w:webHidden/>
          </w:rPr>
          <w:t>7</w:t>
        </w:r>
        <w:r w:rsidR="00784233">
          <w:rPr>
            <w:noProof/>
            <w:webHidden/>
          </w:rPr>
          <w:fldChar w:fldCharType="end"/>
        </w:r>
      </w:hyperlink>
    </w:p>
    <w:p w14:paraId="3DE3D249" w14:textId="55B559CE" w:rsidR="00A92E50" w:rsidRDefault="00290BAD" w:rsidP="00290BAD">
      <w:r>
        <w:fldChar w:fldCharType="end"/>
      </w:r>
      <w:r w:rsidR="00A92E50">
        <w:br w:type="page"/>
      </w:r>
    </w:p>
    <w:p w14:paraId="0F4BF4E8" w14:textId="2A7720FF" w:rsidR="009E7D99" w:rsidRPr="009E7D99" w:rsidRDefault="000C2661" w:rsidP="008D4E5D">
      <w:pPr>
        <w:pStyle w:val="Ttulo2"/>
      </w:pPr>
      <w:bookmarkStart w:id="5" w:name="_Toc224633262"/>
      <w:r>
        <w:lastRenderedPageBreak/>
        <w:t xml:space="preserve">Apéndice 2. </w:t>
      </w:r>
      <w:r w:rsidRPr="00E94874">
        <w:t>Gasto tributario</w:t>
      </w:r>
      <w:bookmarkEnd w:id="1"/>
      <w:bookmarkEnd w:id="5"/>
    </w:p>
    <w:p w14:paraId="48ED8FBB" w14:textId="72B54F4D" w:rsidR="000C2661" w:rsidRDefault="000C2661" w:rsidP="00497160">
      <w:pPr>
        <w:pStyle w:val="Ttulo3"/>
        <w:spacing w:before="160"/>
      </w:pPr>
      <w:bookmarkStart w:id="6" w:name="_Toc224633263"/>
      <w:r w:rsidRPr="00230A3B">
        <w:t xml:space="preserve">A.2.1 </w:t>
      </w:r>
      <w:r w:rsidR="001F137E" w:rsidRPr="001F137E">
        <w:t>El costo fiscal del gasto tributario: identificación, medición y divulgación a partir de un marco de referencia (</w:t>
      </w:r>
      <w:r w:rsidR="001F137E" w:rsidRPr="00831F32">
        <w:rPr>
          <w:i/>
          <w:iCs/>
        </w:rPr>
        <w:t>Benchmark</w:t>
      </w:r>
      <w:r w:rsidR="001F137E" w:rsidRPr="001F137E">
        <w:t>)</w:t>
      </w:r>
      <w:bookmarkEnd w:id="6"/>
    </w:p>
    <w:p w14:paraId="4E62F8C9" w14:textId="184FB50A" w:rsidR="00E95351" w:rsidRDefault="00E95351" w:rsidP="00E95351">
      <w:r w:rsidRPr="001F137E">
        <w:rPr>
          <w:b/>
          <w:bCs/>
        </w:rPr>
        <w:t>El costo fiscal del gasto tributario (GT) se define como la pérdida de ingresos fiscales ocasionada por deducciones, exenciones, tarifas reducidas y diversos tratamientos especiales incluidos en la Constitución y la Ley</w:t>
      </w:r>
      <w:r w:rsidR="00C832B5">
        <w:rPr>
          <w:rStyle w:val="Refdenotaalpie"/>
          <w:b/>
          <w:bCs/>
        </w:rPr>
        <w:footnoteReference w:id="3"/>
      </w:r>
      <w:r>
        <w:t>. Estimar estos efectos sobre los ingresos tributarios es importante para proporcionar información cuantitativa sobre los resultados de estos tratamientos preferenciales. Esta estimación permite evaluar los propósitos para los que fueron otorgados, identificar posibles problemas relacionados con la eficiencia o la justicia y analizar diversos impactos distributivos que tiene su aplicación.</w:t>
      </w:r>
    </w:p>
    <w:p w14:paraId="00BF8A14" w14:textId="379AD303" w:rsidR="00E95351" w:rsidRDefault="00E95351" w:rsidP="00E95351">
      <w:r w:rsidRPr="00856A88">
        <w:rPr>
          <w:b/>
          <w:bCs/>
        </w:rPr>
        <w:t>No obstante, identificar en el sistema tributario las provisiones que constituyen un GT no es una tarea fácil, ya que requiere de la definición de un marco de referencia.</w:t>
      </w:r>
      <w:r>
        <w:t xml:space="preserve"> Existen varios enfoques para identificar el GT para un impuesto y momento específicos, los cuales se basan en caracterizarlo como desviaciones respecto a un sistema tributario de referencia o </w:t>
      </w:r>
      <w:r w:rsidRPr="00A351B2">
        <w:rPr>
          <w:i/>
          <w:iCs/>
        </w:rPr>
        <w:t>benchmark</w:t>
      </w:r>
      <w:r>
        <w:t xml:space="preserve">. Este sistema de referencia puede ser el que constituye la legislación tributaria vigente, uno que se construya a partir de un esquema teórico (así este esquema no guarde relación directa con las definiciones legales del impuesto) o uno que se defina a partir de las concesiones tributarias que son directamente equivalentes a un subsidio directo. Dependiendo de la ausencia o no de un marco de referencia, y también de su naturaleza, cambia la naturaleza de lo que se considera GT, y por ende su costo fiscal.  </w:t>
      </w:r>
    </w:p>
    <w:p w14:paraId="2D2E960D" w14:textId="0B8C1F2B" w:rsidR="00E95351" w:rsidRDefault="00E95351" w:rsidP="00E95351">
      <w:r w:rsidRPr="00856A88">
        <w:rPr>
          <w:b/>
          <w:bCs/>
        </w:rPr>
        <w:t>A pesar de los constantes esfuerzos del país por mejorar la identificación y la medición del GT y su costo fiscal, hasta hace poco Colombia no contaba con un sistema tributario de referencia.</w:t>
      </w:r>
      <w:r>
        <w:t xml:space="preserve"> La ausencia de un marco de referencia claro tiene dos consecuencias no triviales en el proceso que permite determinar un GT y cuantificar su costo fiscal: en primer lugar, se corre el riesgo de no identificar provisiones o concesiones que son GT y de identificar medidas como GT que en realidad no lo son; en segundo lugar, esto resulta en estimaciones sesgadas del costo fiscal reportado, lo que dificulta su utilización en otras etapas del análisis del GT, como por ejemplo en su evaluación.            </w:t>
      </w:r>
    </w:p>
    <w:p w14:paraId="69F9C989" w14:textId="21D5BC56" w:rsidR="00E95351" w:rsidRDefault="00E95351" w:rsidP="00E95351">
      <w:r w:rsidRPr="007948EC">
        <w:rPr>
          <w:b/>
          <w:bCs/>
        </w:rPr>
        <w:t>En 2021, la Comisión de Expertos en Beneficios Tributarios (CEBT) señaló esta situación y recomendó la publicación de un reporte independiente para cuantificar el GT.</w:t>
      </w:r>
      <w:r>
        <w:t xml:space="preserve"> Este reporte es fundamental para entender la complejidad del GT en el país, ya que debe contener un listado exhaustivo de todas las provisiones reportadas como GT, así como la </w:t>
      </w:r>
      <w:r>
        <w:lastRenderedPageBreak/>
        <w:t xml:space="preserve">cuantificación a partir de registros administrativos, información complementaria y cálculos propios con base en la normativa tributaria para los impuestos considerados.  </w:t>
      </w:r>
    </w:p>
    <w:p w14:paraId="01CC2DBA" w14:textId="25FB525D" w:rsidR="00E95351" w:rsidRDefault="00E95351" w:rsidP="00E95351">
      <w:r w:rsidRPr="00534959">
        <w:rPr>
          <w:b/>
          <w:bCs/>
        </w:rPr>
        <w:t>Así las cosas, por primera vez se presenta en el apéndice la cuantificación del costo fiscal del GT para los años gravables 2021 y 2022, utilizando un marco de referencia claramente definido, lo que genera mejoras metodológicas.</w:t>
      </w:r>
      <w:r>
        <w:t xml:space="preserve"> Este apéndice actualiza y presenta, a un nivel agregado, las distintas provisiones y su costo fiscal para los años gravables en mención a partir del trabajo realizado entre 2021 y 2022 por la OCDE, la DIAN y el Ministerio de Hacienda, a instancias de la CEBT, en la identificación tanto de un </w:t>
      </w:r>
      <w:r w:rsidRPr="007C5B4E">
        <w:rPr>
          <w:i/>
          <w:iCs/>
        </w:rPr>
        <w:t>benchmark</w:t>
      </w:r>
      <w:r>
        <w:t xml:space="preserve"> hibrido y del listado de gastos tributarios por impuesto, con base en la legislación vigente al año 2021, como de la medición del costo fiscal por cada concepto de GT por el año gravable 2020</w:t>
      </w:r>
      <w:r w:rsidR="004E2084">
        <w:rPr>
          <w:rStyle w:val="Refdenotaalpie"/>
        </w:rPr>
        <w:footnoteReference w:id="4"/>
      </w:r>
      <w:r>
        <w:t xml:space="preserve">. Contar con un marco de referencia permite mejoras metodológicas importantes, entre las que se destacan la inclusión de los ingresos no constitutivos de renta que constituyen GT, la depuración de las rentas exentas, la identificación del GT negativo asociado a las sobretasas en el impuesto de renta, y una mejor comprensión de la interacción entre las tarifas diferenciadas y otros rubros de GT. </w:t>
      </w:r>
    </w:p>
    <w:p w14:paraId="356339D9" w14:textId="6C46AAFA" w:rsidR="00E95351" w:rsidRDefault="00E95351" w:rsidP="00E95351">
      <w:r w:rsidRPr="00534959">
        <w:rPr>
          <w:b/>
          <w:bCs/>
        </w:rPr>
        <w:t>La información para estos dos años estará disponible ítem por ítem en el documento independiente que describe con mayor detalle los resultados en este apéndice.</w:t>
      </w:r>
      <w:r>
        <w:t xml:space="preserve"> El reporte contendrá, de acuerdo con las recomendaciones de la CEBT, la definición detallada del marco de referencia para el impuesto de renta y el IVA, un análisis distributivo para el impuesto de renta para las personas naturales y una descripción de qué gastos son o no cuantificables para estos impuestos con los formularios y las fuentes complementarias disponibles.</w:t>
      </w:r>
    </w:p>
    <w:p w14:paraId="170716ED" w14:textId="3AAF1432" w:rsidR="0089307F" w:rsidRPr="0089307F" w:rsidRDefault="00E95351" w:rsidP="00E95351">
      <w:r w:rsidRPr="00280D3E">
        <w:rPr>
          <w:b/>
          <w:bCs/>
        </w:rPr>
        <w:t>En este sentido, los apéndices de GT incluidos en el documento del MFMP en adelante serán resúmenes del documento independiente.</w:t>
      </w:r>
      <w:r>
        <w:t xml:space="preserve"> Tanto el documento independiente como el apéndice del MFMP presentarán el costo fiscal del GT con un marco de referencia actualizado e incluirán información para más impuestos, diferentes al de renta y al IVA, en la medida que se avanza en la construcción de un </w:t>
      </w:r>
      <w:r w:rsidRPr="008F2909">
        <w:rPr>
          <w:i/>
          <w:iCs/>
        </w:rPr>
        <w:t>benchmark</w:t>
      </w:r>
      <w:r>
        <w:t xml:space="preserve"> para ellos. Dados los tiempos en el calendario tributario y en el reporte de información exógena, fundamental para el ejercicio de medición del costo fiscal ítem por ítem, los resultados se presentan con dos años de rezago: lo que puede ser en principio una pérdida de oportunidad, es en realidad una ganancia en la precisión de las estimaciones y en la transparencia de estas.</w:t>
      </w:r>
    </w:p>
    <w:p w14:paraId="21C0982C" w14:textId="0D239260" w:rsidR="000C2661" w:rsidRDefault="000C2661" w:rsidP="00D522DF">
      <w:pPr>
        <w:pStyle w:val="Ttulo3"/>
      </w:pPr>
      <w:bookmarkStart w:id="7" w:name="_Toc224633264"/>
      <w:r w:rsidRPr="001C0D99">
        <w:t xml:space="preserve">A.2.2 </w:t>
      </w:r>
      <w:r w:rsidR="00A836B6" w:rsidRPr="00A836B6">
        <w:t>Gasto Tributario y su costo fiscal para el impuesto de renta y el IVA, 2021 y 2022.</w:t>
      </w:r>
      <w:bookmarkEnd w:id="7"/>
    </w:p>
    <w:p w14:paraId="29EC2A69" w14:textId="05004EB2" w:rsidR="00A77BDA" w:rsidRDefault="00A77BDA" w:rsidP="00A77BDA">
      <w:r w:rsidRPr="00A8157E">
        <w:rPr>
          <w:b/>
          <w:bCs/>
        </w:rPr>
        <w:t xml:space="preserve">El costo fiscal de los gastos tributarios identificados a partir de un marco de referencia para el impuesto de Renta y para el IVA, fue como mínimo de $102,2 bn en el año </w:t>
      </w:r>
      <w:r w:rsidRPr="00A8157E">
        <w:rPr>
          <w:b/>
          <w:bCs/>
        </w:rPr>
        <w:lastRenderedPageBreak/>
        <w:t>gravable 2021 y de $129,1 bn en el año gravable 2022</w:t>
      </w:r>
      <w:r w:rsidR="008560EF" w:rsidRPr="00A8157E">
        <w:rPr>
          <w:rStyle w:val="Refdenotaalpie"/>
          <w:b/>
          <w:bCs/>
        </w:rPr>
        <w:footnoteReference w:id="5"/>
      </w:r>
      <w:r w:rsidRPr="00A8157E">
        <w:rPr>
          <w:b/>
          <w:bCs/>
        </w:rPr>
        <w:t>, manteniéndose relativamente constante como proporción del PIB (8,8% del PIB).</w:t>
      </w:r>
      <w:r>
        <w:t xml:space="preserve"> En términos del costo fiscal del GT cuantificable con las fuentes de información disponibles, esto representa un incremento nominal en el costo fiscal de 26,2%, un incremento real cercano al 10% (ver Tabla A.2.1.). </w:t>
      </w:r>
    </w:p>
    <w:p w14:paraId="4D023D27" w14:textId="46FC15EA" w:rsidR="00A77BDA" w:rsidRDefault="00A77BDA" w:rsidP="00A77BDA">
      <w:r w:rsidRPr="00A8157E">
        <w:rPr>
          <w:b/>
          <w:bCs/>
        </w:rPr>
        <w:t>Aumentos en la tarifa estatutaria del impuesto de renta para personas jurídicas y un mayor dinamismo de la economía en 2022 explican el aumento del costo fiscal entre los dos periodos.</w:t>
      </w:r>
      <w:r>
        <w:t xml:space="preserve"> El aumento de 4pp en la tarifa del impuesto de renta para personas jurídicas, que comenzó su vigencia a partir del año gravable 2022, es una de las razones fundamentales que explican el aumento en el costo fiscal del GT respecto a 2021. Por su parte, el mayor crecimiento económico registrado en 2022 (7,5% en términos reales) incrementa las bases gravables que deberían gravarse según la definición del </w:t>
      </w:r>
      <w:r w:rsidRPr="00CC7D58">
        <w:rPr>
          <w:i/>
          <w:iCs/>
        </w:rPr>
        <w:t>benchmark</w:t>
      </w:r>
      <w:r>
        <w:t xml:space="preserve"> para el caso del IVA, y contribuye a que el costo fiscal del GT haya permanecido constante como porcentaje del PIB.</w:t>
      </w:r>
    </w:p>
    <w:p w14:paraId="5681FF3F" w14:textId="3C343423" w:rsidR="00A77BDA" w:rsidRDefault="00A77BDA" w:rsidP="00A77BDA">
      <w:r w:rsidRPr="00EE5DB5">
        <w:rPr>
          <w:b/>
          <w:bCs/>
        </w:rPr>
        <w:t>Aunque las cifras presentadas no son directamente comparables con las presentadas en apéndices anteriores, la definición del marco de referencia mejora la cuantificación del costo fiscal del GT.</w:t>
      </w:r>
      <w:r>
        <w:t xml:space="preserve"> Ejemplo de ello es la cuantificación del costo fiscal para las rentas exentas: el cambio entre los dos años gravables presentado en este apéndice difiere del presentado en el MFMP 2023, a causa de que en el ejercicio de identificación actual se toman del total de rentas exentas las que corresponden a GT de acuerdo con el marco de referencia y con la información exógena disponible, lo cual da valores inferiores del costo fiscal frente a los reportados el año pasado, que consideraban como GT la totalidad de las rentas exentas reportadas en la casilla de la declaración. Lo anterior, ante la imposibilidad de definir qué correspondía a GT y asimismo de contar con la información exógena de la vigencia más reciente.</w:t>
      </w:r>
    </w:p>
    <w:p w14:paraId="6294BFDD" w14:textId="5429E688" w:rsidR="000F03A9" w:rsidRPr="000F03A9" w:rsidRDefault="00A77BDA" w:rsidP="00A77BDA">
      <w:r w:rsidRPr="00BA0A85">
        <w:rPr>
          <w:b/>
          <w:bCs/>
        </w:rPr>
        <w:t>A pesar de los avances en la identificación y medición del costo fiscal del GT, quedan aún limitaciones e importantes desafíos.</w:t>
      </w:r>
      <w:r>
        <w:t xml:space="preserve"> Los cálculos se basan en información reportada por los contribuyentes obligados a presentar información exógena, la cual complementa lo declarado en los formularios de impuestos. A pesar de comparar los datos declarados y los provenientes de fuentes complementarias para determinar los valores del GT y cuantificar su costo fiscal, con el propósito de abarcar el mayor monto posible respecto de las cifras declaradas, las estimaciones dependan en gran medida de la información exógena. Además, la falta de niveles más detallados de desglose en los formularios dificulta la presentación de resultados con otras desagregaciones, como lo son por tipo de contribuyente o por sector económico.</w:t>
      </w:r>
    </w:p>
    <w:p w14:paraId="5C86BE6A" w14:textId="0656E5D5" w:rsidR="000D2FB9" w:rsidRDefault="000D2FB9" w:rsidP="000D2FB9">
      <w:pPr>
        <w:pStyle w:val="Descripcin"/>
      </w:pPr>
      <w:bookmarkStart w:id="8" w:name="_Ref212795073"/>
      <w:bookmarkStart w:id="9" w:name="_Toc224633269"/>
      <w:r>
        <w:lastRenderedPageBreak/>
        <w:t>Tabla A.2.</w:t>
      </w:r>
      <w:fldSimple w:instr=" SEQ Tabla \* ARABIC ">
        <w:r>
          <w:rPr>
            <w:noProof/>
          </w:rPr>
          <w:t>1</w:t>
        </w:r>
      </w:fldSimple>
      <w:bookmarkEnd w:id="8"/>
      <w:r>
        <w:t xml:space="preserve"> </w:t>
      </w:r>
      <w:r w:rsidR="004B3A1C" w:rsidRPr="004B3A1C">
        <w:t>Costo fiscal de los gastos tributarios en el impuesto sobre la renta e IVA-años gravables 2021 y 2022</w:t>
      </w:r>
      <w:bookmarkEnd w:id="9"/>
    </w:p>
    <w:tbl>
      <w:tblPr>
        <w:tblW w:w="8880" w:type="dxa"/>
        <w:jc w:val="center"/>
        <w:tblCellMar>
          <w:left w:w="70" w:type="dxa"/>
          <w:right w:w="70" w:type="dxa"/>
        </w:tblCellMar>
        <w:tblLook w:val="04A0" w:firstRow="1" w:lastRow="0" w:firstColumn="1" w:lastColumn="0" w:noHBand="0" w:noVBand="1"/>
      </w:tblPr>
      <w:tblGrid>
        <w:gridCol w:w="5080"/>
        <w:gridCol w:w="1040"/>
        <w:gridCol w:w="1040"/>
        <w:gridCol w:w="580"/>
        <w:gridCol w:w="580"/>
        <w:gridCol w:w="560"/>
      </w:tblGrid>
      <w:tr w:rsidR="006825CC" w:rsidRPr="007F7A06" w14:paraId="709672C1" w14:textId="77777777" w:rsidTr="000362FD">
        <w:trPr>
          <w:trHeight w:val="525"/>
          <w:jc w:val="center"/>
        </w:trPr>
        <w:tc>
          <w:tcPr>
            <w:tcW w:w="5080" w:type="dxa"/>
            <w:vMerge w:val="restart"/>
            <w:tcBorders>
              <w:top w:val="single" w:sz="4" w:space="0" w:color="D9D9D9"/>
              <w:left w:val="single" w:sz="4" w:space="0" w:color="D9D9D9"/>
              <w:bottom w:val="single" w:sz="4" w:space="0" w:color="FFFFFF"/>
              <w:right w:val="single" w:sz="4" w:space="0" w:color="FFFFFF"/>
            </w:tcBorders>
            <w:shd w:val="clear" w:color="FFFFFF" w:fill="2B2D45"/>
            <w:noWrap/>
            <w:vAlign w:val="center"/>
            <w:hideMark/>
          </w:tcPr>
          <w:p w14:paraId="1BB913A1" w14:textId="77777777"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Impuesto / tipo de gasto tributario</w:t>
            </w:r>
          </w:p>
        </w:tc>
        <w:tc>
          <w:tcPr>
            <w:tcW w:w="2080" w:type="dxa"/>
            <w:gridSpan w:val="2"/>
            <w:tcBorders>
              <w:top w:val="single" w:sz="4" w:space="0" w:color="D9D9D9"/>
              <w:left w:val="nil"/>
              <w:bottom w:val="single" w:sz="4" w:space="0" w:color="FFFFFF"/>
              <w:right w:val="single" w:sz="4" w:space="0" w:color="FFFFFF"/>
            </w:tcBorders>
            <w:shd w:val="clear" w:color="000000" w:fill="2B2D45"/>
            <w:noWrap/>
            <w:vAlign w:val="center"/>
            <w:hideMark/>
          </w:tcPr>
          <w:p w14:paraId="2632C3F5" w14:textId="77777777"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Costo fiscal ($MM*)</w:t>
            </w:r>
          </w:p>
        </w:tc>
        <w:tc>
          <w:tcPr>
            <w:tcW w:w="1160" w:type="dxa"/>
            <w:gridSpan w:val="2"/>
            <w:tcBorders>
              <w:top w:val="single" w:sz="4" w:space="0" w:color="D9D9D9"/>
              <w:left w:val="nil"/>
              <w:bottom w:val="single" w:sz="4" w:space="0" w:color="FFFFFF"/>
              <w:right w:val="single" w:sz="4" w:space="0" w:color="FFFFFF"/>
            </w:tcBorders>
            <w:shd w:val="clear" w:color="000000" w:fill="2B2D45"/>
            <w:noWrap/>
            <w:vAlign w:val="center"/>
            <w:hideMark/>
          </w:tcPr>
          <w:p w14:paraId="049457E3" w14:textId="77777777"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 PIB*</w:t>
            </w:r>
          </w:p>
        </w:tc>
        <w:tc>
          <w:tcPr>
            <w:tcW w:w="560" w:type="dxa"/>
            <w:vMerge w:val="restart"/>
            <w:tcBorders>
              <w:top w:val="single" w:sz="4" w:space="0" w:color="D9D9D9"/>
              <w:left w:val="single" w:sz="4" w:space="0" w:color="FFFFFF"/>
              <w:bottom w:val="single" w:sz="4" w:space="0" w:color="FFFFFF"/>
              <w:right w:val="single" w:sz="4" w:space="0" w:color="D9D9D9"/>
            </w:tcBorders>
            <w:shd w:val="clear" w:color="000000" w:fill="2B2D45"/>
            <w:vAlign w:val="center"/>
            <w:hideMark/>
          </w:tcPr>
          <w:p w14:paraId="49FC56B0" w14:textId="77777777"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Dif.</w:t>
            </w:r>
            <w:r w:rsidRPr="007F7A06">
              <w:rPr>
                <w:rFonts w:ascii="Nunito Medium" w:eastAsia="Times New Roman" w:hAnsi="Nunito Medium" w:cs="Arial"/>
                <w:b/>
                <w:bCs/>
                <w:color w:val="FFFFFF"/>
                <w:kern w:val="0"/>
                <w:sz w:val="16"/>
                <w:szCs w:val="16"/>
                <w:lang w:eastAsia="es-CO"/>
                <w14:ligatures w14:val="none"/>
              </w:rPr>
              <w:br/>
              <w:t>(pp)</w:t>
            </w:r>
          </w:p>
        </w:tc>
      </w:tr>
      <w:tr w:rsidR="006825CC" w:rsidRPr="007F7A06" w14:paraId="6B0A6AC9" w14:textId="77777777" w:rsidTr="000362FD">
        <w:trPr>
          <w:trHeight w:val="255"/>
          <w:jc w:val="center"/>
        </w:trPr>
        <w:tc>
          <w:tcPr>
            <w:tcW w:w="5080" w:type="dxa"/>
            <w:vMerge/>
            <w:tcBorders>
              <w:top w:val="single" w:sz="4" w:space="0" w:color="D9D9D9"/>
              <w:left w:val="single" w:sz="4" w:space="0" w:color="D9D9D9"/>
              <w:bottom w:val="single" w:sz="4" w:space="0" w:color="FFFFFF"/>
              <w:right w:val="single" w:sz="4" w:space="0" w:color="FFFFFF"/>
            </w:tcBorders>
            <w:vAlign w:val="center"/>
            <w:hideMark/>
          </w:tcPr>
          <w:p w14:paraId="56BD47A1" w14:textId="77777777" w:rsidR="006825CC" w:rsidRPr="007F7A06" w:rsidRDefault="006825CC" w:rsidP="000362FD">
            <w:pPr>
              <w:spacing w:after="0" w:line="240" w:lineRule="auto"/>
              <w:jc w:val="left"/>
              <w:rPr>
                <w:rFonts w:ascii="Nunito Medium" w:eastAsia="Times New Roman" w:hAnsi="Nunito Medium" w:cs="Arial"/>
                <w:b/>
                <w:bCs/>
                <w:color w:val="FFFFFF"/>
                <w:kern w:val="0"/>
                <w:sz w:val="16"/>
                <w:szCs w:val="16"/>
                <w:lang w:eastAsia="es-CO"/>
                <w14:ligatures w14:val="none"/>
              </w:rPr>
            </w:pPr>
          </w:p>
        </w:tc>
        <w:tc>
          <w:tcPr>
            <w:tcW w:w="1040" w:type="dxa"/>
            <w:tcBorders>
              <w:top w:val="nil"/>
              <w:left w:val="nil"/>
              <w:bottom w:val="single" w:sz="4" w:space="0" w:color="FFFFFF"/>
              <w:right w:val="single" w:sz="4" w:space="0" w:color="FFFFFF"/>
            </w:tcBorders>
            <w:shd w:val="clear" w:color="000000" w:fill="2B2D45"/>
            <w:noWrap/>
            <w:vAlign w:val="center"/>
            <w:hideMark/>
          </w:tcPr>
          <w:p w14:paraId="3671CC85" w14:textId="7692A07B"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202</w:t>
            </w:r>
            <w:r w:rsidR="00E43B08">
              <w:rPr>
                <w:rFonts w:ascii="Nunito Medium" w:eastAsia="Times New Roman" w:hAnsi="Nunito Medium" w:cs="Arial"/>
                <w:b/>
                <w:bCs/>
                <w:color w:val="FFFFFF"/>
                <w:kern w:val="0"/>
                <w:sz w:val="16"/>
                <w:szCs w:val="16"/>
                <w:lang w:eastAsia="es-CO"/>
                <w14:ligatures w14:val="none"/>
              </w:rPr>
              <w:t>1</w:t>
            </w:r>
          </w:p>
        </w:tc>
        <w:tc>
          <w:tcPr>
            <w:tcW w:w="1040" w:type="dxa"/>
            <w:tcBorders>
              <w:top w:val="nil"/>
              <w:left w:val="nil"/>
              <w:bottom w:val="single" w:sz="4" w:space="0" w:color="FFFFFF"/>
              <w:right w:val="single" w:sz="4" w:space="0" w:color="FFFFFF"/>
            </w:tcBorders>
            <w:shd w:val="clear" w:color="000000" w:fill="2B2D45"/>
            <w:noWrap/>
            <w:vAlign w:val="center"/>
            <w:hideMark/>
          </w:tcPr>
          <w:p w14:paraId="46BFECC6" w14:textId="5A9D5BA8"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202</w:t>
            </w:r>
            <w:r w:rsidR="00E43B08">
              <w:rPr>
                <w:rFonts w:ascii="Nunito Medium" w:eastAsia="Times New Roman" w:hAnsi="Nunito Medium" w:cs="Arial"/>
                <w:b/>
                <w:bCs/>
                <w:color w:val="FFFFFF"/>
                <w:kern w:val="0"/>
                <w:sz w:val="16"/>
                <w:szCs w:val="16"/>
                <w:lang w:eastAsia="es-CO"/>
                <w14:ligatures w14:val="none"/>
              </w:rPr>
              <w:t>2</w:t>
            </w:r>
          </w:p>
        </w:tc>
        <w:tc>
          <w:tcPr>
            <w:tcW w:w="580" w:type="dxa"/>
            <w:tcBorders>
              <w:top w:val="nil"/>
              <w:left w:val="nil"/>
              <w:bottom w:val="single" w:sz="4" w:space="0" w:color="FFFFFF"/>
              <w:right w:val="single" w:sz="4" w:space="0" w:color="FFFFFF"/>
            </w:tcBorders>
            <w:shd w:val="clear" w:color="000000" w:fill="2B2D45"/>
            <w:noWrap/>
            <w:vAlign w:val="center"/>
            <w:hideMark/>
          </w:tcPr>
          <w:p w14:paraId="4BEB3555" w14:textId="47C46C3F"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20</w:t>
            </w:r>
            <w:r w:rsidR="00E43B08">
              <w:rPr>
                <w:rFonts w:ascii="Nunito Medium" w:eastAsia="Times New Roman" w:hAnsi="Nunito Medium" w:cs="Arial"/>
                <w:b/>
                <w:bCs/>
                <w:color w:val="FFFFFF"/>
                <w:kern w:val="0"/>
                <w:sz w:val="16"/>
                <w:szCs w:val="16"/>
                <w:lang w:eastAsia="es-CO"/>
                <w14:ligatures w14:val="none"/>
              </w:rPr>
              <w:t>21</w:t>
            </w:r>
          </w:p>
        </w:tc>
        <w:tc>
          <w:tcPr>
            <w:tcW w:w="580" w:type="dxa"/>
            <w:tcBorders>
              <w:top w:val="nil"/>
              <w:left w:val="nil"/>
              <w:bottom w:val="single" w:sz="4" w:space="0" w:color="FFFFFF"/>
              <w:right w:val="single" w:sz="4" w:space="0" w:color="FFFFFF"/>
            </w:tcBorders>
            <w:shd w:val="clear" w:color="000000" w:fill="2B2D45"/>
            <w:noWrap/>
            <w:vAlign w:val="center"/>
            <w:hideMark/>
          </w:tcPr>
          <w:p w14:paraId="1969C9B6" w14:textId="30A5B117" w:rsidR="006825CC" w:rsidRPr="007F7A06" w:rsidRDefault="006825CC" w:rsidP="000362FD">
            <w:pPr>
              <w:spacing w:after="0" w:line="240" w:lineRule="auto"/>
              <w:jc w:val="center"/>
              <w:rPr>
                <w:rFonts w:ascii="Nunito Medium" w:eastAsia="Times New Roman" w:hAnsi="Nunito Medium" w:cs="Arial"/>
                <w:b/>
                <w:bCs/>
                <w:color w:val="FFFFFF"/>
                <w:kern w:val="0"/>
                <w:sz w:val="16"/>
                <w:szCs w:val="16"/>
                <w:lang w:eastAsia="es-CO"/>
                <w14:ligatures w14:val="none"/>
              </w:rPr>
            </w:pPr>
            <w:r w:rsidRPr="007F7A06">
              <w:rPr>
                <w:rFonts w:ascii="Nunito Medium" w:eastAsia="Times New Roman" w:hAnsi="Nunito Medium" w:cs="Arial"/>
                <w:b/>
                <w:bCs/>
                <w:color w:val="FFFFFF"/>
                <w:kern w:val="0"/>
                <w:sz w:val="16"/>
                <w:szCs w:val="16"/>
                <w:lang w:eastAsia="es-CO"/>
                <w14:ligatures w14:val="none"/>
              </w:rPr>
              <w:t>202</w:t>
            </w:r>
            <w:r w:rsidR="00E43B08">
              <w:rPr>
                <w:rFonts w:ascii="Nunito Medium" w:eastAsia="Times New Roman" w:hAnsi="Nunito Medium" w:cs="Arial"/>
                <w:b/>
                <w:bCs/>
                <w:color w:val="FFFFFF"/>
                <w:kern w:val="0"/>
                <w:sz w:val="16"/>
                <w:szCs w:val="16"/>
                <w:lang w:eastAsia="es-CO"/>
                <w14:ligatures w14:val="none"/>
              </w:rPr>
              <w:t>2</w:t>
            </w:r>
          </w:p>
        </w:tc>
        <w:tc>
          <w:tcPr>
            <w:tcW w:w="560" w:type="dxa"/>
            <w:vMerge/>
            <w:tcBorders>
              <w:top w:val="single" w:sz="4" w:space="0" w:color="D9D9D9"/>
              <w:left w:val="single" w:sz="4" w:space="0" w:color="FFFFFF"/>
              <w:bottom w:val="single" w:sz="4" w:space="0" w:color="FFFFFF"/>
              <w:right w:val="single" w:sz="4" w:space="0" w:color="D9D9D9"/>
            </w:tcBorders>
            <w:vAlign w:val="center"/>
            <w:hideMark/>
          </w:tcPr>
          <w:p w14:paraId="0A6BF7B4" w14:textId="77777777" w:rsidR="006825CC" w:rsidRPr="007F7A06" w:rsidRDefault="006825CC" w:rsidP="000362FD">
            <w:pPr>
              <w:spacing w:after="0" w:line="240" w:lineRule="auto"/>
              <w:jc w:val="left"/>
              <w:rPr>
                <w:rFonts w:ascii="Nunito Medium" w:eastAsia="Times New Roman" w:hAnsi="Nunito Medium" w:cs="Arial"/>
                <w:b/>
                <w:bCs/>
                <w:color w:val="FFFFFF"/>
                <w:kern w:val="0"/>
                <w:sz w:val="16"/>
                <w:szCs w:val="16"/>
                <w:lang w:eastAsia="es-CO"/>
                <w14:ligatures w14:val="none"/>
              </w:rPr>
            </w:pPr>
          </w:p>
        </w:tc>
      </w:tr>
      <w:tr w:rsidR="001B66CA" w:rsidRPr="007F7A06" w14:paraId="0CA1CF87"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000000" w:fill="F2F2F2"/>
            <w:noWrap/>
            <w:hideMark/>
          </w:tcPr>
          <w:p w14:paraId="09AF9C48" w14:textId="1A7070B0" w:rsidR="001B66CA" w:rsidRPr="007842AA" w:rsidRDefault="001B66CA" w:rsidP="001B66CA">
            <w:pPr>
              <w:spacing w:after="0" w:line="240" w:lineRule="auto"/>
              <w:jc w:val="left"/>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Impuesto sobre la Renta - Personas jurídicas</w:t>
            </w:r>
          </w:p>
        </w:tc>
        <w:tc>
          <w:tcPr>
            <w:tcW w:w="1040" w:type="dxa"/>
            <w:tcBorders>
              <w:top w:val="nil"/>
              <w:left w:val="nil"/>
              <w:bottom w:val="single" w:sz="4" w:space="0" w:color="FFFFFF"/>
              <w:right w:val="single" w:sz="4" w:space="0" w:color="FFFFFF"/>
            </w:tcBorders>
            <w:shd w:val="clear" w:color="000000" w:fill="F2F2F2"/>
            <w:noWrap/>
            <w:hideMark/>
          </w:tcPr>
          <w:p w14:paraId="310B21FE" w14:textId="1D8B037B"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20.733</w:t>
            </w:r>
          </w:p>
        </w:tc>
        <w:tc>
          <w:tcPr>
            <w:tcW w:w="1040" w:type="dxa"/>
            <w:tcBorders>
              <w:top w:val="nil"/>
              <w:left w:val="nil"/>
              <w:bottom w:val="single" w:sz="4" w:space="0" w:color="FFFFFF"/>
              <w:right w:val="single" w:sz="4" w:space="0" w:color="FFFFFF"/>
            </w:tcBorders>
            <w:shd w:val="clear" w:color="000000" w:fill="F2F2F2"/>
            <w:noWrap/>
            <w:hideMark/>
          </w:tcPr>
          <w:p w14:paraId="1323CAB8" w14:textId="24D90AEC"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28.487</w:t>
            </w:r>
          </w:p>
        </w:tc>
        <w:tc>
          <w:tcPr>
            <w:tcW w:w="580" w:type="dxa"/>
            <w:tcBorders>
              <w:top w:val="nil"/>
              <w:left w:val="nil"/>
              <w:bottom w:val="single" w:sz="4" w:space="0" w:color="FFFFFF"/>
              <w:right w:val="single" w:sz="4" w:space="0" w:color="FFFFFF"/>
            </w:tcBorders>
            <w:shd w:val="clear" w:color="000000" w:fill="F2F2F2"/>
            <w:noWrap/>
            <w:hideMark/>
          </w:tcPr>
          <w:p w14:paraId="5F24A638" w14:textId="4176D249"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1.6</w:t>
            </w:r>
          </w:p>
        </w:tc>
        <w:tc>
          <w:tcPr>
            <w:tcW w:w="580" w:type="dxa"/>
            <w:tcBorders>
              <w:top w:val="nil"/>
              <w:left w:val="nil"/>
              <w:bottom w:val="single" w:sz="4" w:space="0" w:color="FFFFFF"/>
              <w:right w:val="single" w:sz="4" w:space="0" w:color="FFFFFF"/>
            </w:tcBorders>
            <w:shd w:val="clear" w:color="000000" w:fill="F2F2F2"/>
            <w:noWrap/>
            <w:hideMark/>
          </w:tcPr>
          <w:p w14:paraId="1C09A716" w14:textId="48719AB2"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1.9</w:t>
            </w:r>
          </w:p>
        </w:tc>
        <w:tc>
          <w:tcPr>
            <w:tcW w:w="560" w:type="dxa"/>
            <w:tcBorders>
              <w:top w:val="nil"/>
              <w:left w:val="nil"/>
              <w:bottom w:val="single" w:sz="4" w:space="0" w:color="FFFFFF"/>
              <w:right w:val="single" w:sz="4" w:space="0" w:color="D9D9D9"/>
            </w:tcBorders>
            <w:shd w:val="clear" w:color="000000" w:fill="F2F2F2"/>
            <w:noWrap/>
            <w:hideMark/>
          </w:tcPr>
          <w:p w14:paraId="395BAA52" w14:textId="7E32284A"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0,3</w:t>
            </w:r>
          </w:p>
        </w:tc>
      </w:tr>
      <w:tr w:rsidR="001B66CA" w:rsidRPr="007F7A06" w14:paraId="73846E72"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36A32950" w14:textId="78554111"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Rentas exentas</w:t>
            </w:r>
            <w:r w:rsidRPr="006069A5">
              <w:rPr>
                <w:rFonts w:ascii="Nunito Medium" w:hAnsi="Nunito Medium"/>
                <w:sz w:val="16"/>
                <w:szCs w:val="16"/>
                <w:vertAlign w:val="superscript"/>
              </w:rPr>
              <w:t>4</w:t>
            </w:r>
          </w:p>
        </w:tc>
        <w:tc>
          <w:tcPr>
            <w:tcW w:w="1040" w:type="dxa"/>
            <w:tcBorders>
              <w:top w:val="nil"/>
              <w:left w:val="nil"/>
              <w:bottom w:val="single" w:sz="4" w:space="0" w:color="FFFFFF"/>
              <w:right w:val="single" w:sz="4" w:space="0" w:color="FFFFFF"/>
            </w:tcBorders>
            <w:shd w:val="clear" w:color="auto" w:fill="auto"/>
            <w:noWrap/>
            <w:hideMark/>
          </w:tcPr>
          <w:p w14:paraId="2C74AF8A" w14:textId="299B9E3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4.034</w:t>
            </w:r>
          </w:p>
        </w:tc>
        <w:tc>
          <w:tcPr>
            <w:tcW w:w="1040" w:type="dxa"/>
            <w:tcBorders>
              <w:top w:val="nil"/>
              <w:left w:val="nil"/>
              <w:bottom w:val="single" w:sz="4" w:space="0" w:color="FFFFFF"/>
              <w:right w:val="single" w:sz="4" w:space="0" w:color="FFFFFF"/>
            </w:tcBorders>
            <w:shd w:val="clear" w:color="auto" w:fill="auto"/>
            <w:noWrap/>
            <w:hideMark/>
          </w:tcPr>
          <w:p w14:paraId="137F13EE" w14:textId="18BDC501"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4.160</w:t>
            </w:r>
          </w:p>
        </w:tc>
        <w:tc>
          <w:tcPr>
            <w:tcW w:w="580" w:type="dxa"/>
            <w:tcBorders>
              <w:top w:val="nil"/>
              <w:left w:val="nil"/>
              <w:bottom w:val="single" w:sz="4" w:space="0" w:color="FFFFFF"/>
              <w:right w:val="single" w:sz="4" w:space="0" w:color="FFFFFF"/>
            </w:tcBorders>
            <w:shd w:val="clear" w:color="auto" w:fill="auto"/>
            <w:noWrap/>
            <w:hideMark/>
          </w:tcPr>
          <w:p w14:paraId="0D2C604A" w14:textId="5B6735C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0.3</w:t>
            </w:r>
          </w:p>
        </w:tc>
        <w:tc>
          <w:tcPr>
            <w:tcW w:w="580" w:type="dxa"/>
            <w:tcBorders>
              <w:top w:val="nil"/>
              <w:left w:val="nil"/>
              <w:bottom w:val="single" w:sz="4" w:space="0" w:color="FFFFFF"/>
              <w:right w:val="single" w:sz="4" w:space="0" w:color="FFFFFF"/>
            </w:tcBorders>
            <w:shd w:val="clear" w:color="auto" w:fill="auto"/>
            <w:noWrap/>
            <w:hideMark/>
          </w:tcPr>
          <w:p w14:paraId="7A76ADA7" w14:textId="65B08C45"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0.3</w:t>
            </w:r>
          </w:p>
        </w:tc>
        <w:tc>
          <w:tcPr>
            <w:tcW w:w="560" w:type="dxa"/>
            <w:tcBorders>
              <w:top w:val="nil"/>
              <w:left w:val="nil"/>
              <w:bottom w:val="single" w:sz="4" w:space="0" w:color="FFFFFF"/>
              <w:right w:val="single" w:sz="4" w:space="0" w:color="D9D9D9"/>
            </w:tcBorders>
            <w:shd w:val="clear" w:color="auto" w:fill="auto"/>
            <w:noWrap/>
            <w:hideMark/>
          </w:tcPr>
          <w:p w14:paraId="35F0D768" w14:textId="06DE3025"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5B3074BD" w14:textId="77777777" w:rsidTr="003B3360">
        <w:trPr>
          <w:trHeight w:val="345"/>
          <w:jc w:val="center"/>
        </w:trPr>
        <w:tc>
          <w:tcPr>
            <w:tcW w:w="5080" w:type="dxa"/>
            <w:tcBorders>
              <w:top w:val="nil"/>
              <w:left w:val="single" w:sz="4" w:space="0" w:color="D9D9D9"/>
              <w:bottom w:val="single" w:sz="4" w:space="0" w:color="FFFFFF"/>
              <w:right w:val="single" w:sz="4" w:space="0" w:color="FFFFFF"/>
            </w:tcBorders>
            <w:shd w:val="clear" w:color="auto" w:fill="auto"/>
            <w:hideMark/>
          </w:tcPr>
          <w:p w14:paraId="3A8DF810" w14:textId="66B11EF8"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vertAlign w:val="superscript"/>
                <w:lang w:eastAsia="es-CO"/>
                <w14:ligatures w14:val="none"/>
              </w:rPr>
            </w:pPr>
            <w:r w:rsidRPr="007842AA">
              <w:rPr>
                <w:rFonts w:ascii="Nunito Medium" w:hAnsi="Nunito Medium"/>
                <w:sz w:val="16"/>
                <w:szCs w:val="16"/>
              </w:rPr>
              <w:t>Ingresos no gravables</w:t>
            </w:r>
            <w:r w:rsidRPr="006069A5">
              <w:rPr>
                <w:rFonts w:ascii="Nunito Medium" w:hAnsi="Nunito Medium"/>
                <w:sz w:val="16"/>
                <w:szCs w:val="16"/>
                <w:vertAlign w:val="superscript"/>
              </w:rPr>
              <w:t>1,4</w:t>
            </w:r>
          </w:p>
        </w:tc>
        <w:tc>
          <w:tcPr>
            <w:tcW w:w="1040" w:type="dxa"/>
            <w:tcBorders>
              <w:top w:val="nil"/>
              <w:left w:val="nil"/>
              <w:bottom w:val="single" w:sz="4" w:space="0" w:color="FFFFFF"/>
              <w:right w:val="single" w:sz="4" w:space="0" w:color="FFFFFF"/>
            </w:tcBorders>
            <w:shd w:val="clear" w:color="auto" w:fill="auto"/>
            <w:noWrap/>
            <w:hideMark/>
          </w:tcPr>
          <w:p w14:paraId="73723FF9" w14:textId="3103F07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2.002</w:t>
            </w:r>
          </w:p>
        </w:tc>
        <w:tc>
          <w:tcPr>
            <w:tcW w:w="1040" w:type="dxa"/>
            <w:tcBorders>
              <w:top w:val="nil"/>
              <w:left w:val="nil"/>
              <w:bottom w:val="single" w:sz="4" w:space="0" w:color="FFFFFF"/>
              <w:right w:val="single" w:sz="4" w:space="0" w:color="FFFFFF"/>
            </w:tcBorders>
            <w:shd w:val="clear" w:color="auto" w:fill="auto"/>
            <w:noWrap/>
            <w:hideMark/>
          </w:tcPr>
          <w:p w14:paraId="010D1C36" w14:textId="07F2495D"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3.106</w:t>
            </w:r>
          </w:p>
        </w:tc>
        <w:tc>
          <w:tcPr>
            <w:tcW w:w="580" w:type="dxa"/>
            <w:tcBorders>
              <w:top w:val="nil"/>
              <w:left w:val="nil"/>
              <w:bottom w:val="single" w:sz="4" w:space="0" w:color="FFFFFF"/>
              <w:right w:val="single" w:sz="4" w:space="0" w:color="FFFFFF"/>
            </w:tcBorders>
            <w:shd w:val="clear" w:color="auto" w:fill="auto"/>
            <w:noWrap/>
            <w:hideMark/>
          </w:tcPr>
          <w:p w14:paraId="6EFFF4B1" w14:textId="7DCB505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80" w:type="dxa"/>
            <w:tcBorders>
              <w:top w:val="nil"/>
              <w:left w:val="nil"/>
              <w:bottom w:val="single" w:sz="4" w:space="0" w:color="FFFFFF"/>
              <w:right w:val="single" w:sz="4" w:space="0" w:color="FFFFFF"/>
            </w:tcBorders>
            <w:shd w:val="clear" w:color="auto" w:fill="auto"/>
            <w:noWrap/>
            <w:hideMark/>
          </w:tcPr>
          <w:p w14:paraId="6C5B2987" w14:textId="6EF9BB8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60" w:type="dxa"/>
            <w:tcBorders>
              <w:top w:val="nil"/>
              <w:left w:val="nil"/>
              <w:bottom w:val="single" w:sz="4" w:space="0" w:color="FFFFFF"/>
              <w:right w:val="single" w:sz="4" w:space="0" w:color="D9D9D9"/>
            </w:tcBorders>
            <w:shd w:val="clear" w:color="auto" w:fill="auto"/>
            <w:noWrap/>
            <w:hideMark/>
          </w:tcPr>
          <w:p w14:paraId="005515C2" w14:textId="0007130F"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387F28D5"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6CFB5884" w14:textId="104ACB5D"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vertAlign w:val="superscript"/>
                <w:lang w:eastAsia="es-CO"/>
                <w14:ligatures w14:val="none"/>
              </w:rPr>
            </w:pPr>
            <w:r w:rsidRPr="007842AA">
              <w:rPr>
                <w:rFonts w:ascii="Nunito Medium" w:hAnsi="Nunito Medium"/>
                <w:sz w:val="16"/>
                <w:szCs w:val="16"/>
              </w:rPr>
              <w:t>Deducciones</w:t>
            </w:r>
            <w:r w:rsidRPr="006069A5">
              <w:rPr>
                <w:rFonts w:ascii="Nunito Medium" w:hAnsi="Nunito Medium"/>
                <w:sz w:val="16"/>
                <w:szCs w:val="16"/>
                <w:vertAlign w:val="superscript"/>
              </w:rPr>
              <w:t>4</w:t>
            </w:r>
          </w:p>
        </w:tc>
        <w:tc>
          <w:tcPr>
            <w:tcW w:w="1040" w:type="dxa"/>
            <w:tcBorders>
              <w:top w:val="nil"/>
              <w:left w:val="nil"/>
              <w:bottom w:val="single" w:sz="4" w:space="0" w:color="FFFFFF"/>
              <w:right w:val="single" w:sz="4" w:space="0" w:color="FFFFFF"/>
            </w:tcBorders>
            <w:shd w:val="clear" w:color="auto" w:fill="auto"/>
            <w:noWrap/>
            <w:hideMark/>
          </w:tcPr>
          <w:p w14:paraId="017FB0B9" w14:textId="61EFDA98"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6.807</w:t>
            </w:r>
          </w:p>
        </w:tc>
        <w:tc>
          <w:tcPr>
            <w:tcW w:w="1040" w:type="dxa"/>
            <w:tcBorders>
              <w:top w:val="nil"/>
              <w:left w:val="nil"/>
              <w:bottom w:val="single" w:sz="4" w:space="0" w:color="FFFFFF"/>
              <w:right w:val="single" w:sz="4" w:space="0" w:color="FFFFFF"/>
            </w:tcBorders>
            <w:shd w:val="clear" w:color="auto" w:fill="auto"/>
            <w:noWrap/>
            <w:hideMark/>
          </w:tcPr>
          <w:p w14:paraId="1AAB6AEC" w14:textId="6166E9E5"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9.397</w:t>
            </w:r>
          </w:p>
        </w:tc>
        <w:tc>
          <w:tcPr>
            <w:tcW w:w="580" w:type="dxa"/>
            <w:tcBorders>
              <w:top w:val="nil"/>
              <w:left w:val="nil"/>
              <w:bottom w:val="single" w:sz="4" w:space="0" w:color="FFFFFF"/>
              <w:right w:val="single" w:sz="4" w:space="0" w:color="FFFFFF"/>
            </w:tcBorders>
            <w:shd w:val="clear" w:color="auto" w:fill="auto"/>
            <w:noWrap/>
            <w:hideMark/>
          </w:tcPr>
          <w:p w14:paraId="3D319EAD" w14:textId="47618933"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0.6</w:t>
            </w:r>
          </w:p>
        </w:tc>
        <w:tc>
          <w:tcPr>
            <w:tcW w:w="580" w:type="dxa"/>
            <w:tcBorders>
              <w:top w:val="nil"/>
              <w:left w:val="nil"/>
              <w:bottom w:val="single" w:sz="4" w:space="0" w:color="FFFFFF"/>
              <w:right w:val="single" w:sz="4" w:space="0" w:color="FFFFFF"/>
            </w:tcBorders>
            <w:shd w:val="clear" w:color="auto" w:fill="auto"/>
            <w:noWrap/>
            <w:hideMark/>
          </w:tcPr>
          <w:p w14:paraId="33A12801" w14:textId="3E4E1D9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0.6</w:t>
            </w:r>
          </w:p>
        </w:tc>
        <w:tc>
          <w:tcPr>
            <w:tcW w:w="560" w:type="dxa"/>
            <w:tcBorders>
              <w:top w:val="nil"/>
              <w:left w:val="nil"/>
              <w:bottom w:val="single" w:sz="4" w:space="0" w:color="FFFFFF"/>
              <w:right w:val="single" w:sz="4" w:space="0" w:color="D9D9D9"/>
            </w:tcBorders>
            <w:shd w:val="clear" w:color="auto" w:fill="auto"/>
            <w:noWrap/>
            <w:hideMark/>
          </w:tcPr>
          <w:p w14:paraId="488885BB" w14:textId="03946C2F"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209A63C3"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014E3B50" w14:textId="53CA274B" w:rsidR="001B66CA" w:rsidRPr="007842AA" w:rsidRDefault="001B66CA" w:rsidP="001B66CA">
            <w:pPr>
              <w:spacing w:after="0" w:line="240" w:lineRule="auto"/>
              <w:ind w:firstLineChars="100" w:firstLine="160"/>
              <w:jc w:val="left"/>
              <w:rPr>
                <w:rFonts w:ascii="Nunito Medium" w:eastAsia="Times New Roman" w:hAnsi="Nunito Medium" w:cs="Arial"/>
                <w:kern w:val="0"/>
                <w:sz w:val="16"/>
                <w:szCs w:val="16"/>
                <w:lang w:eastAsia="es-CO"/>
                <w14:ligatures w14:val="none"/>
              </w:rPr>
            </w:pPr>
            <w:r w:rsidRPr="007842AA">
              <w:rPr>
                <w:rFonts w:ascii="Nunito Medium" w:hAnsi="Nunito Medium"/>
                <w:sz w:val="16"/>
                <w:szCs w:val="16"/>
              </w:rPr>
              <w:t>Descuentos tributarios</w:t>
            </w:r>
          </w:p>
        </w:tc>
        <w:tc>
          <w:tcPr>
            <w:tcW w:w="1040" w:type="dxa"/>
            <w:tcBorders>
              <w:top w:val="nil"/>
              <w:left w:val="nil"/>
              <w:bottom w:val="single" w:sz="4" w:space="0" w:color="FFFFFF"/>
              <w:right w:val="single" w:sz="4" w:space="0" w:color="FFFFFF"/>
            </w:tcBorders>
            <w:shd w:val="clear" w:color="auto" w:fill="auto"/>
            <w:noWrap/>
            <w:hideMark/>
          </w:tcPr>
          <w:p w14:paraId="31462DED" w14:textId="2AF9F26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6.526</w:t>
            </w:r>
          </w:p>
        </w:tc>
        <w:tc>
          <w:tcPr>
            <w:tcW w:w="1040" w:type="dxa"/>
            <w:tcBorders>
              <w:top w:val="nil"/>
              <w:left w:val="nil"/>
              <w:bottom w:val="single" w:sz="4" w:space="0" w:color="FFFFFF"/>
              <w:right w:val="single" w:sz="4" w:space="0" w:color="FFFFFF"/>
            </w:tcBorders>
            <w:shd w:val="clear" w:color="auto" w:fill="auto"/>
            <w:noWrap/>
            <w:hideMark/>
          </w:tcPr>
          <w:p w14:paraId="6C5CA9F9" w14:textId="1265F06E"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8.989</w:t>
            </w:r>
          </w:p>
        </w:tc>
        <w:tc>
          <w:tcPr>
            <w:tcW w:w="580" w:type="dxa"/>
            <w:tcBorders>
              <w:top w:val="nil"/>
              <w:left w:val="nil"/>
              <w:bottom w:val="single" w:sz="4" w:space="0" w:color="FFFFFF"/>
              <w:right w:val="single" w:sz="4" w:space="0" w:color="FFFFFF"/>
            </w:tcBorders>
            <w:shd w:val="clear" w:color="auto" w:fill="auto"/>
            <w:noWrap/>
            <w:hideMark/>
          </w:tcPr>
          <w:p w14:paraId="39F1A8BC" w14:textId="0F0A906E"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0.5</w:t>
            </w:r>
          </w:p>
        </w:tc>
        <w:tc>
          <w:tcPr>
            <w:tcW w:w="580" w:type="dxa"/>
            <w:tcBorders>
              <w:top w:val="nil"/>
              <w:left w:val="nil"/>
              <w:bottom w:val="single" w:sz="4" w:space="0" w:color="FFFFFF"/>
              <w:right w:val="single" w:sz="4" w:space="0" w:color="FFFFFF"/>
            </w:tcBorders>
            <w:shd w:val="clear" w:color="auto" w:fill="auto"/>
            <w:noWrap/>
            <w:hideMark/>
          </w:tcPr>
          <w:p w14:paraId="06E30C7E" w14:textId="56BCACCE"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0.6</w:t>
            </w:r>
          </w:p>
        </w:tc>
        <w:tc>
          <w:tcPr>
            <w:tcW w:w="560" w:type="dxa"/>
            <w:tcBorders>
              <w:top w:val="nil"/>
              <w:left w:val="nil"/>
              <w:bottom w:val="single" w:sz="4" w:space="0" w:color="FFFFFF"/>
              <w:right w:val="single" w:sz="4" w:space="0" w:color="D9D9D9"/>
            </w:tcBorders>
            <w:shd w:val="clear" w:color="auto" w:fill="auto"/>
            <w:noWrap/>
            <w:hideMark/>
          </w:tcPr>
          <w:p w14:paraId="4F62E93B" w14:textId="31D652BE"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0,1</w:t>
            </w:r>
          </w:p>
        </w:tc>
      </w:tr>
      <w:tr w:rsidR="001B66CA" w:rsidRPr="007F7A06" w14:paraId="4744310C" w14:textId="77777777" w:rsidTr="003B3360">
        <w:trPr>
          <w:trHeight w:val="330"/>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5DF1F5D2" w14:textId="2480A3B8"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vertAlign w:val="superscript"/>
                <w:lang w:eastAsia="es-CO"/>
                <w14:ligatures w14:val="none"/>
              </w:rPr>
            </w:pPr>
            <w:r w:rsidRPr="007842AA">
              <w:rPr>
                <w:rFonts w:ascii="Nunito Medium" w:hAnsi="Nunito Medium"/>
                <w:sz w:val="16"/>
                <w:szCs w:val="16"/>
              </w:rPr>
              <w:t>Tarifas inferiores a la tarifa general</w:t>
            </w:r>
            <w:r w:rsidRPr="006069A5">
              <w:rPr>
                <w:rFonts w:ascii="Nunito Medium" w:hAnsi="Nunito Medium"/>
                <w:sz w:val="16"/>
                <w:szCs w:val="16"/>
                <w:vertAlign w:val="superscript"/>
              </w:rPr>
              <w:t>2</w:t>
            </w:r>
          </w:p>
        </w:tc>
        <w:tc>
          <w:tcPr>
            <w:tcW w:w="1040" w:type="dxa"/>
            <w:tcBorders>
              <w:top w:val="nil"/>
              <w:left w:val="nil"/>
              <w:bottom w:val="single" w:sz="4" w:space="0" w:color="FFFFFF"/>
              <w:right w:val="single" w:sz="4" w:space="0" w:color="FFFFFF"/>
            </w:tcBorders>
            <w:shd w:val="clear" w:color="auto" w:fill="auto"/>
            <w:noWrap/>
            <w:hideMark/>
          </w:tcPr>
          <w:p w14:paraId="26706C28" w14:textId="33F3A7C0"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1.934</w:t>
            </w:r>
          </w:p>
        </w:tc>
        <w:tc>
          <w:tcPr>
            <w:tcW w:w="1040" w:type="dxa"/>
            <w:tcBorders>
              <w:top w:val="nil"/>
              <w:left w:val="nil"/>
              <w:bottom w:val="single" w:sz="4" w:space="0" w:color="FFFFFF"/>
              <w:right w:val="single" w:sz="4" w:space="0" w:color="FFFFFF"/>
            </w:tcBorders>
            <w:shd w:val="clear" w:color="auto" w:fill="auto"/>
            <w:noWrap/>
            <w:hideMark/>
          </w:tcPr>
          <w:p w14:paraId="41F1FF77" w14:textId="6D444B37"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3.370</w:t>
            </w:r>
          </w:p>
        </w:tc>
        <w:tc>
          <w:tcPr>
            <w:tcW w:w="580" w:type="dxa"/>
            <w:tcBorders>
              <w:top w:val="nil"/>
              <w:left w:val="nil"/>
              <w:bottom w:val="single" w:sz="4" w:space="0" w:color="FFFFFF"/>
              <w:right w:val="single" w:sz="4" w:space="0" w:color="FFFFFF"/>
            </w:tcBorders>
            <w:shd w:val="clear" w:color="auto" w:fill="auto"/>
            <w:noWrap/>
            <w:hideMark/>
          </w:tcPr>
          <w:p w14:paraId="7BE25643" w14:textId="3FB33739"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80" w:type="dxa"/>
            <w:tcBorders>
              <w:top w:val="nil"/>
              <w:left w:val="nil"/>
              <w:bottom w:val="single" w:sz="4" w:space="0" w:color="FFFFFF"/>
              <w:right w:val="single" w:sz="4" w:space="0" w:color="FFFFFF"/>
            </w:tcBorders>
            <w:shd w:val="clear" w:color="auto" w:fill="auto"/>
            <w:noWrap/>
            <w:hideMark/>
          </w:tcPr>
          <w:p w14:paraId="351446F8" w14:textId="7C4101D2"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60" w:type="dxa"/>
            <w:tcBorders>
              <w:top w:val="nil"/>
              <w:left w:val="nil"/>
              <w:bottom w:val="single" w:sz="4" w:space="0" w:color="FFFFFF"/>
              <w:right w:val="single" w:sz="4" w:space="0" w:color="D9D9D9"/>
            </w:tcBorders>
            <w:shd w:val="clear" w:color="auto" w:fill="auto"/>
            <w:noWrap/>
            <w:hideMark/>
          </w:tcPr>
          <w:p w14:paraId="65F37108" w14:textId="5D93AEE7"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604F9E5C" w14:textId="77777777" w:rsidTr="003B3360">
        <w:trPr>
          <w:trHeight w:val="330"/>
          <w:jc w:val="center"/>
        </w:trPr>
        <w:tc>
          <w:tcPr>
            <w:tcW w:w="5080" w:type="dxa"/>
            <w:tcBorders>
              <w:top w:val="nil"/>
              <w:left w:val="single" w:sz="4" w:space="0" w:color="D9D9D9"/>
              <w:bottom w:val="single" w:sz="4" w:space="0" w:color="FFFFFF"/>
              <w:right w:val="single" w:sz="4" w:space="0" w:color="FFFFFF"/>
            </w:tcBorders>
            <w:shd w:val="clear" w:color="auto" w:fill="auto"/>
            <w:hideMark/>
          </w:tcPr>
          <w:p w14:paraId="1E1A7DD7" w14:textId="59F75796"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vertAlign w:val="superscript"/>
                <w:lang w:eastAsia="es-CO"/>
                <w14:ligatures w14:val="none"/>
              </w:rPr>
            </w:pPr>
            <w:r w:rsidRPr="007842AA">
              <w:rPr>
                <w:rFonts w:ascii="Nunito Medium" w:hAnsi="Nunito Medium"/>
                <w:sz w:val="16"/>
                <w:szCs w:val="16"/>
              </w:rPr>
              <w:t>Tarifas superiores a la tarifa general (por efecto de sobretasas)</w:t>
            </w:r>
            <w:r w:rsidRPr="006069A5">
              <w:rPr>
                <w:rFonts w:ascii="Nunito Medium" w:hAnsi="Nunito Medium"/>
                <w:sz w:val="16"/>
                <w:szCs w:val="16"/>
                <w:vertAlign w:val="superscript"/>
              </w:rPr>
              <w:t>3</w:t>
            </w:r>
          </w:p>
        </w:tc>
        <w:tc>
          <w:tcPr>
            <w:tcW w:w="1040" w:type="dxa"/>
            <w:tcBorders>
              <w:top w:val="nil"/>
              <w:left w:val="nil"/>
              <w:bottom w:val="single" w:sz="4" w:space="0" w:color="FFFFFF"/>
              <w:right w:val="single" w:sz="4" w:space="0" w:color="FFFFFF"/>
            </w:tcBorders>
            <w:shd w:val="clear" w:color="auto" w:fill="auto"/>
            <w:noWrap/>
            <w:hideMark/>
          </w:tcPr>
          <w:p w14:paraId="795A6AD5" w14:textId="5EF4A91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-570</w:t>
            </w:r>
          </w:p>
        </w:tc>
        <w:tc>
          <w:tcPr>
            <w:tcW w:w="1040" w:type="dxa"/>
            <w:tcBorders>
              <w:top w:val="nil"/>
              <w:left w:val="nil"/>
              <w:bottom w:val="single" w:sz="4" w:space="0" w:color="FFFFFF"/>
              <w:right w:val="single" w:sz="4" w:space="0" w:color="FFFFFF"/>
            </w:tcBorders>
            <w:shd w:val="clear" w:color="auto" w:fill="auto"/>
            <w:noWrap/>
            <w:hideMark/>
          </w:tcPr>
          <w:p w14:paraId="1CC16365" w14:textId="3C15920C"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-534</w:t>
            </w:r>
          </w:p>
        </w:tc>
        <w:tc>
          <w:tcPr>
            <w:tcW w:w="580" w:type="dxa"/>
            <w:tcBorders>
              <w:top w:val="nil"/>
              <w:left w:val="nil"/>
              <w:bottom w:val="single" w:sz="4" w:space="0" w:color="FFFFFF"/>
              <w:right w:val="single" w:sz="4" w:space="0" w:color="FFFFFF"/>
            </w:tcBorders>
            <w:shd w:val="clear" w:color="auto" w:fill="auto"/>
            <w:noWrap/>
            <w:hideMark/>
          </w:tcPr>
          <w:p w14:paraId="420ED077" w14:textId="24376107"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c>
          <w:tcPr>
            <w:tcW w:w="580" w:type="dxa"/>
            <w:tcBorders>
              <w:top w:val="nil"/>
              <w:left w:val="nil"/>
              <w:bottom w:val="single" w:sz="4" w:space="0" w:color="FFFFFF"/>
              <w:right w:val="single" w:sz="4" w:space="0" w:color="FFFFFF"/>
            </w:tcBorders>
            <w:shd w:val="clear" w:color="auto" w:fill="auto"/>
            <w:noWrap/>
            <w:hideMark/>
          </w:tcPr>
          <w:p w14:paraId="4D60369A" w14:textId="2E9E0CB5"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c>
          <w:tcPr>
            <w:tcW w:w="560" w:type="dxa"/>
            <w:tcBorders>
              <w:top w:val="nil"/>
              <w:left w:val="nil"/>
              <w:bottom w:val="single" w:sz="4" w:space="0" w:color="FFFFFF"/>
              <w:right w:val="single" w:sz="4" w:space="0" w:color="D9D9D9"/>
            </w:tcBorders>
            <w:shd w:val="clear" w:color="auto" w:fill="auto"/>
            <w:noWrap/>
            <w:hideMark/>
          </w:tcPr>
          <w:p w14:paraId="7F1B95D2" w14:textId="2458FC7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4CD08EBE"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000000" w:fill="F2F2F2"/>
            <w:noWrap/>
            <w:hideMark/>
          </w:tcPr>
          <w:p w14:paraId="697B2009" w14:textId="552171E6" w:rsidR="001B66CA" w:rsidRPr="007842AA" w:rsidRDefault="001B66CA" w:rsidP="001B66CA">
            <w:pPr>
              <w:spacing w:after="0" w:line="240" w:lineRule="auto"/>
              <w:jc w:val="left"/>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Impuesto sobre la Renta - Personas naturales</w:t>
            </w:r>
          </w:p>
        </w:tc>
        <w:tc>
          <w:tcPr>
            <w:tcW w:w="1040" w:type="dxa"/>
            <w:tcBorders>
              <w:top w:val="nil"/>
              <w:left w:val="nil"/>
              <w:bottom w:val="single" w:sz="4" w:space="0" w:color="FFFFFF"/>
              <w:right w:val="single" w:sz="4" w:space="0" w:color="FFFFFF"/>
            </w:tcBorders>
            <w:shd w:val="clear" w:color="000000" w:fill="F2F2F2"/>
            <w:noWrap/>
            <w:hideMark/>
          </w:tcPr>
          <w:p w14:paraId="3388F9B3" w14:textId="59FB039A"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18.408</w:t>
            </w:r>
          </w:p>
        </w:tc>
        <w:tc>
          <w:tcPr>
            <w:tcW w:w="1040" w:type="dxa"/>
            <w:tcBorders>
              <w:top w:val="nil"/>
              <w:left w:val="nil"/>
              <w:bottom w:val="single" w:sz="4" w:space="0" w:color="FFFFFF"/>
              <w:right w:val="single" w:sz="4" w:space="0" w:color="FFFFFF"/>
            </w:tcBorders>
            <w:shd w:val="clear" w:color="000000" w:fill="F2F2F2"/>
            <w:noWrap/>
            <w:hideMark/>
          </w:tcPr>
          <w:p w14:paraId="28E0083E" w14:textId="0130DF01"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23.263</w:t>
            </w:r>
          </w:p>
        </w:tc>
        <w:tc>
          <w:tcPr>
            <w:tcW w:w="580" w:type="dxa"/>
            <w:tcBorders>
              <w:top w:val="nil"/>
              <w:left w:val="nil"/>
              <w:bottom w:val="single" w:sz="4" w:space="0" w:color="FFFFFF"/>
              <w:right w:val="single" w:sz="4" w:space="0" w:color="FFFFFF"/>
            </w:tcBorders>
            <w:shd w:val="clear" w:color="000000" w:fill="F2F2F2"/>
            <w:noWrap/>
            <w:hideMark/>
          </w:tcPr>
          <w:p w14:paraId="35A8FF8D" w14:textId="3D912473"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1.5</w:t>
            </w:r>
          </w:p>
        </w:tc>
        <w:tc>
          <w:tcPr>
            <w:tcW w:w="580" w:type="dxa"/>
            <w:tcBorders>
              <w:top w:val="nil"/>
              <w:left w:val="nil"/>
              <w:bottom w:val="single" w:sz="4" w:space="0" w:color="FFFFFF"/>
              <w:right w:val="single" w:sz="4" w:space="0" w:color="FFFFFF"/>
            </w:tcBorders>
            <w:shd w:val="clear" w:color="000000" w:fill="F2F2F2"/>
            <w:noWrap/>
            <w:hideMark/>
          </w:tcPr>
          <w:p w14:paraId="2F609393" w14:textId="461B4B2F"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1.6</w:t>
            </w:r>
          </w:p>
        </w:tc>
        <w:tc>
          <w:tcPr>
            <w:tcW w:w="560" w:type="dxa"/>
            <w:tcBorders>
              <w:top w:val="nil"/>
              <w:left w:val="nil"/>
              <w:bottom w:val="single" w:sz="4" w:space="0" w:color="FFFFFF"/>
              <w:right w:val="single" w:sz="4" w:space="0" w:color="D9D9D9"/>
            </w:tcBorders>
            <w:shd w:val="clear" w:color="000000" w:fill="F2F2F2"/>
            <w:noWrap/>
            <w:hideMark/>
          </w:tcPr>
          <w:p w14:paraId="270A2F98" w14:textId="0B76408A"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0,1</w:t>
            </w:r>
          </w:p>
        </w:tc>
      </w:tr>
      <w:tr w:rsidR="001B66CA" w:rsidRPr="007F7A06" w14:paraId="7F42074C" w14:textId="77777777" w:rsidTr="003B3360">
        <w:trPr>
          <w:trHeight w:val="28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7800F586" w14:textId="75EE246C"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Rentas exentas</w:t>
            </w:r>
          </w:p>
        </w:tc>
        <w:tc>
          <w:tcPr>
            <w:tcW w:w="1040" w:type="dxa"/>
            <w:tcBorders>
              <w:top w:val="nil"/>
              <w:left w:val="nil"/>
              <w:bottom w:val="single" w:sz="4" w:space="0" w:color="FFFFFF"/>
              <w:right w:val="single" w:sz="4" w:space="0" w:color="FFFFFF"/>
            </w:tcBorders>
            <w:shd w:val="clear" w:color="auto" w:fill="auto"/>
            <w:noWrap/>
            <w:hideMark/>
          </w:tcPr>
          <w:p w14:paraId="57D8021A" w14:textId="0B5D32C0"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13.396</w:t>
            </w:r>
          </w:p>
        </w:tc>
        <w:tc>
          <w:tcPr>
            <w:tcW w:w="1040" w:type="dxa"/>
            <w:tcBorders>
              <w:top w:val="nil"/>
              <w:left w:val="nil"/>
              <w:bottom w:val="single" w:sz="4" w:space="0" w:color="FFFFFF"/>
              <w:right w:val="single" w:sz="4" w:space="0" w:color="FFFFFF"/>
            </w:tcBorders>
            <w:shd w:val="clear" w:color="auto" w:fill="auto"/>
            <w:noWrap/>
            <w:hideMark/>
          </w:tcPr>
          <w:p w14:paraId="14D572FE" w14:textId="28F65C76"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16.518</w:t>
            </w:r>
          </w:p>
        </w:tc>
        <w:tc>
          <w:tcPr>
            <w:tcW w:w="580" w:type="dxa"/>
            <w:tcBorders>
              <w:top w:val="nil"/>
              <w:left w:val="nil"/>
              <w:bottom w:val="single" w:sz="4" w:space="0" w:color="FFFFFF"/>
              <w:right w:val="single" w:sz="4" w:space="0" w:color="FFFFFF"/>
            </w:tcBorders>
            <w:shd w:val="clear" w:color="auto" w:fill="auto"/>
            <w:noWrap/>
            <w:hideMark/>
          </w:tcPr>
          <w:p w14:paraId="5BA9420E" w14:textId="2871277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1.1</w:t>
            </w:r>
          </w:p>
        </w:tc>
        <w:tc>
          <w:tcPr>
            <w:tcW w:w="580" w:type="dxa"/>
            <w:tcBorders>
              <w:top w:val="nil"/>
              <w:left w:val="nil"/>
              <w:bottom w:val="single" w:sz="4" w:space="0" w:color="FFFFFF"/>
              <w:right w:val="single" w:sz="4" w:space="0" w:color="FFFFFF"/>
            </w:tcBorders>
            <w:shd w:val="clear" w:color="auto" w:fill="auto"/>
            <w:noWrap/>
            <w:hideMark/>
          </w:tcPr>
          <w:p w14:paraId="0757ED61" w14:textId="758A2CA9"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1.1</w:t>
            </w:r>
          </w:p>
        </w:tc>
        <w:tc>
          <w:tcPr>
            <w:tcW w:w="560" w:type="dxa"/>
            <w:tcBorders>
              <w:top w:val="nil"/>
              <w:left w:val="nil"/>
              <w:bottom w:val="single" w:sz="4" w:space="0" w:color="FFFFFF"/>
              <w:right w:val="single" w:sz="4" w:space="0" w:color="D9D9D9"/>
            </w:tcBorders>
            <w:shd w:val="clear" w:color="auto" w:fill="auto"/>
            <w:noWrap/>
            <w:hideMark/>
          </w:tcPr>
          <w:p w14:paraId="533A50FE" w14:textId="494347C7"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0C34AD79" w14:textId="77777777" w:rsidTr="003B3360">
        <w:trPr>
          <w:trHeight w:val="300"/>
          <w:jc w:val="center"/>
        </w:trPr>
        <w:tc>
          <w:tcPr>
            <w:tcW w:w="5080" w:type="dxa"/>
            <w:tcBorders>
              <w:top w:val="nil"/>
              <w:left w:val="single" w:sz="4" w:space="0" w:color="D9D9D9"/>
              <w:bottom w:val="single" w:sz="4" w:space="0" w:color="FFFFFF"/>
              <w:right w:val="single" w:sz="4" w:space="0" w:color="FFFFFF"/>
            </w:tcBorders>
            <w:shd w:val="clear" w:color="auto" w:fill="auto"/>
            <w:hideMark/>
          </w:tcPr>
          <w:p w14:paraId="231EE573" w14:textId="7AFEB202" w:rsidR="001B66CA" w:rsidRPr="007842AA" w:rsidRDefault="001B66CA" w:rsidP="001B66CA">
            <w:pPr>
              <w:spacing w:after="0" w:line="240" w:lineRule="auto"/>
              <w:ind w:firstLineChars="100" w:firstLine="160"/>
              <w:jc w:val="left"/>
              <w:rPr>
                <w:rFonts w:ascii="Nunito Medium" w:eastAsia="Times New Roman" w:hAnsi="Nunito Medium" w:cs="Arial"/>
                <w:kern w:val="0"/>
                <w:sz w:val="16"/>
                <w:szCs w:val="16"/>
                <w:vertAlign w:val="superscript"/>
                <w:lang w:eastAsia="es-CO"/>
                <w14:ligatures w14:val="none"/>
              </w:rPr>
            </w:pPr>
            <w:r w:rsidRPr="007842AA">
              <w:rPr>
                <w:rFonts w:ascii="Nunito Medium" w:hAnsi="Nunito Medium"/>
                <w:sz w:val="16"/>
                <w:szCs w:val="16"/>
              </w:rPr>
              <w:t>Ingresos no gravables</w:t>
            </w:r>
          </w:p>
        </w:tc>
        <w:tc>
          <w:tcPr>
            <w:tcW w:w="1040" w:type="dxa"/>
            <w:tcBorders>
              <w:top w:val="nil"/>
              <w:left w:val="nil"/>
              <w:bottom w:val="single" w:sz="4" w:space="0" w:color="FFFFFF"/>
              <w:right w:val="single" w:sz="4" w:space="0" w:color="FFFFFF"/>
            </w:tcBorders>
            <w:shd w:val="clear" w:color="auto" w:fill="auto"/>
            <w:noWrap/>
            <w:hideMark/>
          </w:tcPr>
          <w:p w14:paraId="7355238C" w14:textId="52D32D12"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2.652</w:t>
            </w:r>
          </w:p>
        </w:tc>
        <w:tc>
          <w:tcPr>
            <w:tcW w:w="1040" w:type="dxa"/>
            <w:tcBorders>
              <w:top w:val="nil"/>
              <w:left w:val="nil"/>
              <w:bottom w:val="single" w:sz="4" w:space="0" w:color="FFFFFF"/>
              <w:right w:val="single" w:sz="4" w:space="0" w:color="FFFFFF"/>
            </w:tcBorders>
            <w:shd w:val="clear" w:color="auto" w:fill="auto"/>
            <w:noWrap/>
            <w:hideMark/>
          </w:tcPr>
          <w:p w14:paraId="2441A999" w14:textId="425CA2B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3.904</w:t>
            </w:r>
          </w:p>
        </w:tc>
        <w:tc>
          <w:tcPr>
            <w:tcW w:w="580" w:type="dxa"/>
            <w:tcBorders>
              <w:top w:val="nil"/>
              <w:left w:val="nil"/>
              <w:bottom w:val="single" w:sz="4" w:space="0" w:color="FFFFFF"/>
              <w:right w:val="single" w:sz="4" w:space="0" w:color="FFFFFF"/>
            </w:tcBorders>
            <w:shd w:val="clear" w:color="auto" w:fill="auto"/>
            <w:noWrap/>
            <w:hideMark/>
          </w:tcPr>
          <w:p w14:paraId="06141040" w14:textId="62C6BCE4"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80" w:type="dxa"/>
            <w:tcBorders>
              <w:top w:val="nil"/>
              <w:left w:val="nil"/>
              <w:bottom w:val="single" w:sz="4" w:space="0" w:color="FFFFFF"/>
              <w:right w:val="single" w:sz="4" w:space="0" w:color="FFFFFF"/>
            </w:tcBorders>
            <w:shd w:val="clear" w:color="auto" w:fill="auto"/>
            <w:noWrap/>
            <w:hideMark/>
          </w:tcPr>
          <w:p w14:paraId="4AC02D88" w14:textId="0154FA0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0.3</w:t>
            </w:r>
          </w:p>
        </w:tc>
        <w:tc>
          <w:tcPr>
            <w:tcW w:w="560" w:type="dxa"/>
            <w:tcBorders>
              <w:top w:val="nil"/>
              <w:left w:val="nil"/>
              <w:bottom w:val="single" w:sz="4" w:space="0" w:color="FFFFFF"/>
              <w:right w:val="single" w:sz="4" w:space="0" w:color="D9D9D9"/>
            </w:tcBorders>
            <w:shd w:val="clear" w:color="auto" w:fill="auto"/>
            <w:noWrap/>
            <w:hideMark/>
          </w:tcPr>
          <w:p w14:paraId="499FA2C8" w14:textId="567AF2D9"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0,1</w:t>
            </w:r>
          </w:p>
        </w:tc>
      </w:tr>
      <w:tr w:rsidR="001B66CA" w:rsidRPr="007F7A06" w14:paraId="01C94CD5"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5BEFB420" w14:textId="70FCC24A"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 xml:space="preserve">Deducciones </w:t>
            </w:r>
          </w:p>
        </w:tc>
        <w:tc>
          <w:tcPr>
            <w:tcW w:w="1040" w:type="dxa"/>
            <w:tcBorders>
              <w:top w:val="nil"/>
              <w:left w:val="nil"/>
              <w:bottom w:val="single" w:sz="4" w:space="0" w:color="FFFFFF"/>
              <w:right w:val="single" w:sz="4" w:space="0" w:color="FFFFFF"/>
            </w:tcBorders>
            <w:shd w:val="clear" w:color="auto" w:fill="auto"/>
            <w:noWrap/>
            <w:hideMark/>
          </w:tcPr>
          <w:p w14:paraId="15DE202C" w14:textId="1336E9C8"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2.267</w:t>
            </w:r>
          </w:p>
        </w:tc>
        <w:tc>
          <w:tcPr>
            <w:tcW w:w="1040" w:type="dxa"/>
            <w:tcBorders>
              <w:top w:val="nil"/>
              <w:left w:val="nil"/>
              <w:bottom w:val="single" w:sz="4" w:space="0" w:color="FFFFFF"/>
              <w:right w:val="single" w:sz="4" w:space="0" w:color="FFFFFF"/>
            </w:tcBorders>
            <w:shd w:val="clear" w:color="auto" w:fill="auto"/>
            <w:noWrap/>
            <w:hideMark/>
          </w:tcPr>
          <w:p w14:paraId="0584E4B8" w14:textId="45F47A42"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2.715</w:t>
            </w:r>
          </w:p>
        </w:tc>
        <w:tc>
          <w:tcPr>
            <w:tcW w:w="580" w:type="dxa"/>
            <w:tcBorders>
              <w:top w:val="nil"/>
              <w:left w:val="nil"/>
              <w:bottom w:val="single" w:sz="4" w:space="0" w:color="FFFFFF"/>
              <w:right w:val="single" w:sz="4" w:space="0" w:color="FFFFFF"/>
            </w:tcBorders>
            <w:shd w:val="clear" w:color="auto" w:fill="auto"/>
            <w:noWrap/>
            <w:hideMark/>
          </w:tcPr>
          <w:p w14:paraId="56472B2D" w14:textId="41A28C32"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80" w:type="dxa"/>
            <w:tcBorders>
              <w:top w:val="nil"/>
              <w:left w:val="nil"/>
              <w:bottom w:val="single" w:sz="4" w:space="0" w:color="FFFFFF"/>
              <w:right w:val="single" w:sz="4" w:space="0" w:color="FFFFFF"/>
            </w:tcBorders>
            <w:shd w:val="clear" w:color="auto" w:fill="auto"/>
            <w:noWrap/>
            <w:hideMark/>
          </w:tcPr>
          <w:p w14:paraId="0350505E" w14:textId="741280D1"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0.2</w:t>
            </w:r>
          </w:p>
        </w:tc>
        <w:tc>
          <w:tcPr>
            <w:tcW w:w="560" w:type="dxa"/>
            <w:tcBorders>
              <w:top w:val="nil"/>
              <w:left w:val="nil"/>
              <w:bottom w:val="single" w:sz="4" w:space="0" w:color="FFFFFF"/>
              <w:right w:val="single" w:sz="4" w:space="0" w:color="D9D9D9"/>
            </w:tcBorders>
            <w:shd w:val="clear" w:color="auto" w:fill="auto"/>
            <w:noWrap/>
            <w:hideMark/>
          </w:tcPr>
          <w:p w14:paraId="3B27D2A8" w14:textId="5927701E"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7D5EDC8C"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22952AAC" w14:textId="31582A65"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Descuentos tributarios</w:t>
            </w:r>
          </w:p>
        </w:tc>
        <w:tc>
          <w:tcPr>
            <w:tcW w:w="1040" w:type="dxa"/>
            <w:tcBorders>
              <w:top w:val="nil"/>
              <w:left w:val="nil"/>
              <w:bottom w:val="single" w:sz="4" w:space="0" w:color="FFFFFF"/>
              <w:right w:val="single" w:sz="4" w:space="0" w:color="FFFFFF"/>
            </w:tcBorders>
            <w:shd w:val="clear" w:color="auto" w:fill="auto"/>
            <w:noWrap/>
            <w:hideMark/>
          </w:tcPr>
          <w:p w14:paraId="4F92D12B" w14:textId="4359C255" w:rsidR="001B66CA" w:rsidRPr="007842AA" w:rsidRDefault="001B66CA" w:rsidP="001B66CA">
            <w:pPr>
              <w:spacing w:after="0" w:line="240" w:lineRule="auto"/>
              <w:jc w:val="center"/>
              <w:rPr>
                <w:rFonts w:ascii="Nunito Medium" w:eastAsia="Times New Roman" w:hAnsi="Nunito Medium" w:cs="Arial"/>
                <w:kern w:val="0"/>
                <w:sz w:val="16"/>
                <w:szCs w:val="16"/>
                <w:lang w:eastAsia="es-CO"/>
                <w14:ligatures w14:val="none"/>
              </w:rPr>
            </w:pPr>
            <w:r w:rsidRPr="007842AA">
              <w:rPr>
                <w:rFonts w:ascii="Nunito Medium" w:hAnsi="Nunito Medium"/>
                <w:sz w:val="16"/>
                <w:szCs w:val="16"/>
              </w:rPr>
              <w:t>93</w:t>
            </w:r>
          </w:p>
        </w:tc>
        <w:tc>
          <w:tcPr>
            <w:tcW w:w="1040" w:type="dxa"/>
            <w:tcBorders>
              <w:top w:val="nil"/>
              <w:left w:val="nil"/>
              <w:bottom w:val="single" w:sz="4" w:space="0" w:color="FFFFFF"/>
              <w:right w:val="single" w:sz="4" w:space="0" w:color="FFFFFF"/>
            </w:tcBorders>
            <w:shd w:val="clear" w:color="auto" w:fill="auto"/>
            <w:noWrap/>
            <w:hideMark/>
          </w:tcPr>
          <w:p w14:paraId="4E6F3071" w14:textId="24E3C393" w:rsidR="001B66CA" w:rsidRPr="007842AA" w:rsidRDefault="001B66CA" w:rsidP="001B66CA">
            <w:pPr>
              <w:spacing w:after="0" w:line="240" w:lineRule="auto"/>
              <w:jc w:val="center"/>
              <w:rPr>
                <w:rFonts w:ascii="Nunito Medium" w:eastAsia="Times New Roman" w:hAnsi="Nunito Medium" w:cs="Arial"/>
                <w:kern w:val="0"/>
                <w:sz w:val="16"/>
                <w:szCs w:val="16"/>
                <w:lang w:eastAsia="es-CO"/>
                <w14:ligatures w14:val="none"/>
              </w:rPr>
            </w:pPr>
            <w:r w:rsidRPr="007842AA">
              <w:rPr>
                <w:rFonts w:ascii="Nunito Medium" w:hAnsi="Nunito Medium"/>
                <w:sz w:val="16"/>
                <w:szCs w:val="16"/>
              </w:rPr>
              <w:t>125</w:t>
            </w:r>
          </w:p>
        </w:tc>
        <w:tc>
          <w:tcPr>
            <w:tcW w:w="580" w:type="dxa"/>
            <w:tcBorders>
              <w:top w:val="nil"/>
              <w:left w:val="nil"/>
              <w:bottom w:val="single" w:sz="4" w:space="0" w:color="FFFFFF"/>
              <w:right w:val="single" w:sz="4" w:space="0" w:color="FFFFFF"/>
            </w:tcBorders>
            <w:shd w:val="clear" w:color="auto" w:fill="auto"/>
            <w:noWrap/>
            <w:hideMark/>
          </w:tcPr>
          <w:p w14:paraId="1AA24661" w14:textId="3E7759C2"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c>
          <w:tcPr>
            <w:tcW w:w="580" w:type="dxa"/>
            <w:tcBorders>
              <w:top w:val="nil"/>
              <w:left w:val="nil"/>
              <w:bottom w:val="single" w:sz="4" w:space="0" w:color="FFFFFF"/>
              <w:right w:val="single" w:sz="4" w:space="0" w:color="FFFFFF"/>
            </w:tcBorders>
            <w:shd w:val="clear" w:color="auto" w:fill="auto"/>
            <w:noWrap/>
            <w:hideMark/>
          </w:tcPr>
          <w:p w14:paraId="5E72BD38" w14:textId="3F83CC18"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c>
          <w:tcPr>
            <w:tcW w:w="560" w:type="dxa"/>
            <w:tcBorders>
              <w:top w:val="nil"/>
              <w:left w:val="nil"/>
              <w:bottom w:val="single" w:sz="4" w:space="0" w:color="FFFFFF"/>
              <w:right w:val="single" w:sz="4" w:space="0" w:color="D9D9D9"/>
            </w:tcBorders>
            <w:shd w:val="clear" w:color="auto" w:fill="auto"/>
            <w:noWrap/>
            <w:hideMark/>
          </w:tcPr>
          <w:p w14:paraId="72D20035" w14:textId="3EB4D16D"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610DE45D" w14:textId="77777777" w:rsidTr="003B3360">
        <w:trPr>
          <w:trHeight w:val="270"/>
          <w:jc w:val="center"/>
        </w:trPr>
        <w:tc>
          <w:tcPr>
            <w:tcW w:w="5080" w:type="dxa"/>
            <w:tcBorders>
              <w:top w:val="nil"/>
              <w:left w:val="single" w:sz="4" w:space="0" w:color="D9D9D9"/>
              <w:bottom w:val="single" w:sz="4" w:space="0" w:color="FFFFFF"/>
              <w:right w:val="single" w:sz="4" w:space="0" w:color="FFFFFF"/>
            </w:tcBorders>
            <w:shd w:val="clear" w:color="000000" w:fill="F2F2F2"/>
            <w:noWrap/>
            <w:hideMark/>
          </w:tcPr>
          <w:p w14:paraId="3B3FEB42" w14:textId="737260CC" w:rsidR="001B66CA" w:rsidRPr="007842AA" w:rsidRDefault="001B66CA" w:rsidP="001B66CA">
            <w:pPr>
              <w:spacing w:after="0" w:line="240" w:lineRule="auto"/>
              <w:jc w:val="left"/>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IVA</w:t>
            </w:r>
          </w:p>
        </w:tc>
        <w:tc>
          <w:tcPr>
            <w:tcW w:w="1040" w:type="dxa"/>
            <w:tcBorders>
              <w:top w:val="nil"/>
              <w:left w:val="nil"/>
              <w:bottom w:val="single" w:sz="4" w:space="0" w:color="FFFFFF"/>
              <w:right w:val="single" w:sz="4" w:space="0" w:color="FFFFFF"/>
            </w:tcBorders>
            <w:shd w:val="clear" w:color="000000" w:fill="F2F2F2"/>
            <w:noWrap/>
            <w:hideMark/>
          </w:tcPr>
          <w:p w14:paraId="1E311B52" w14:textId="23A5C282"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63.096</w:t>
            </w:r>
          </w:p>
        </w:tc>
        <w:tc>
          <w:tcPr>
            <w:tcW w:w="1040" w:type="dxa"/>
            <w:tcBorders>
              <w:top w:val="nil"/>
              <w:left w:val="nil"/>
              <w:bottom w:val="single" w:sz="4" w:space="0" w:color="FFFFFF"/>
              <w:right w:val="single" w:sz="4" w:space="0" w:color="FFFFFF"/>
            </w:tcBorders>
            <w:shd w:val="clear" w:color="000000" w:fill="F2F2F2"/>
            <w:noWrap/>
            <w:hideMark/>
          </w:tcPr>
          <w:p w14:paraId="5CF1D22F" w14:textId="5BFCC5AB"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77.318</w:t>
            </w:r>
          </w:p>
        </w:tc>
        <w:tc>
          <w:tcPr>
            <w:tcW w:w="580" w:type="dxa"/>
            <w:tcBorders>
              <w:top w:val="nil"/>
              <w:left w:val="nil"/>
              <w:bottom w:val="single" w:sz="4" w:space="0" w:color="FFFFFF"/>
              <w:right w:val="single" w:sz="4" w:space="0" w:color="FFFFFF"/>
            </w:tcBorders>
            <w:shd w:val="clear" w:color="000000" w:fill="F2F2F2"/>
            <w:noWrap/>
            <w:hideMark/>
          </w:tcPr>
          <w:p w14:paraId="44193429" w14:textId="01AA1E4A"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5.6</w:t>
            </w:r>
          </w:p>
        </w:tc>
        <w:tc>
          <w:tcPr>
            <w:tcW w:w="580" w:type="dxa"/>
            <w:tcBorders>
              <w:top w:val="nil"/>
              <w:left w:val="nil"/>
              <w:bottom w:val="single" w:sz="4" w:space="0" w:color="FFFFFF"/>
              <w:right w:val="single" w:sz="4" w:space="0" w:color="FFFFFF"/>
            </w:tcBorders>
            <w:shd w:val="clear" w:color="000000" w:fill="F2F2F2"/>
            <w:noWrap/>
            <w:hideMark/>
          </w:tcPr>
          <w:p w14:paraId="15F2CFA1" w14:textId="45D10FCF"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5.3</w:t>
            </w:r>
          </w:p>
        </w:tc>
        <w:tc>
          <w:tcPr>
            <w:tcW w:w="560" w:type="dxa"/>
            <w:tcBorders>
              <w:top w:val="nil"/>
              <w:left w:val="nil"/>
              <w:bottom w:val="single" w:sz="4" w:space="0" w:color="FFFFFF"/>
              <w:right w:val="single" w:sz="4" w:space="0" w:color="D9D9D9"/>
            </w:tcBorders>
            <w:shd w:val="clear" w:color="000000" w:fill="F2F2F2"/>
            <w:noWrap/>
            <w:hideMark/>
          </w:tcPr>
          <w:p w14:paraId="1F1418F3" w14:textId="55283422" w:rsidR="001B66CA" w:rsidRPr="007842AA" w:rsidRDefault="001B66CA" w:rsidP="001B66CA">
            <w:pPr>
              <w:spacing w:after="0" w:line="240" w:lineRule="auto"/>
              <w:jc w:val="center"/>
              <w:rPr>
                <w:rFonts w:ascii="Nunito Medium" w:eastAsia="Times New Roman" w:hAnsi="Nunito Medium" w:cs="Arial"/>
                <w:b/>
                <w:bCs/>
                <w:color w:val="000000"/>
                <w:kern w:val="0"/>
                <w:sz w:val="16"/>
                <w:szCs w:val="16"/>
                <w:lang w:eastAsia="es-CO"/>
                <w14:ligatures w14:val="none"/>
              </w:rPr>
            </w:pPr>
            <w:r w:rsidRPr="007842AA">
              <w:rPr>
                <w:rFonts w:ascii="Nunito Medium" w:hAnsi="Nunito Medium"/>
                <w:b/>
                <w:bCs/>
                <w:sz w:val="16"/>
                <w:szCs w:val="16"/>
              </w:rPr>
              <w:t>-0,3</w:t>
            </w:r>
          </w:p>
        </w:tc>
      </w:tr>
      <w:tr w:rsidR="001B66CA" w:rsidRPr="007F7A06" w14:paraId="40496840"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6CFEA590" w14:textId="75008D3F"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Bienes y servicios excluidos</w:t>
            </w:r>
          </w:p>
        </w:tc>
        <w:tc>
          <w:tcPr>
            <w:tcW w:w="1040" w:type="dxa"/>
            <w:tcBorders>
              <w:top w:val="nil"/>
              <w:left w:val="nil"/>
              <w:bottom w:val="single" w:sz="4" w:space="0" w:color="FFFFFF"/>
              <w:right w:val="single" w:sz="4" w:space="0" w:color="FFFFFF"/>
            </w:tcBorders>
            <w:shd w:val="clear" w:color="auto" w:fill="auto"/>
            <w:noWrap/>
            <w:hideMark/>
          </w:tcPr>
          <w:p w14:paraId="00228718" w14:textId="4048943D"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48.814</w:t>
            </w:r>
          </w:p>
        </w:tc>
        <w:tc>
          <w:tcPr>
            <w:tcW w:w="1040" w:type="dxa"/>
            <w:tcBorders>
              <w:top w:val="nil"/>
              <w:left w:val="nil"/>
              <w:bottom w:val="single" w:sz="4" w:space="0" w:color="FFFFFF"/>
              <w:right w:val="single" w:sz="4" w:space="0" w:color="FFFFFF"/>
            </w:tcBorders>
            <w:shd w:val="clear" w:color="auto" w:fill="auto"/>
            <w:noWrap/>
            <w:hideMark/>
          </w:tcPr>
          <w:p w14:paraId="47A547E9" w14:textId="2CD0D046"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60.237</w:t>
            </w:r>
          </w:p>
        </w:tc>
        <w:tc>
          <w:tcPr>
            <w:tcW w:w="580" w:type="dxa"/>
            <w:tcBorders>
              <w:top w:val="nil"/>
              <w:left w:val="nil"/>
              <w:bottom w:val="single" w:sz="4" w:space="0" w:color="FFFFFF"/>
              <w:right w:val="single" w:sz="4" w:space="0" w:color="FFFFFF"/>
            </w:tcBorders>
            <w:shd w:val="clear" w:color="auto" w:fill="auto"/>
            <w:noWrap/>
            <w:hideMark/>
          </w:tcPr>
          <w:p w14:paraId="2AC48539" w14:textId="6F7B5C37"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4.1</w:t>
            </w:r>
          </w:p>
        </w:tc>
        <w:tc>
          <w:tcPr>
            <w:tcW w:w="580" w:type="dxa"/>
            <w:tcBorders>
              <w:top w:val="nil"/>
              <w:left w:val="nil"/>
              <w:bottom w:val="single" w:sz="4" w:space="0" w:color="FFFFFF"/>
              <w:right w:val="single" w:sz="4" w:space="0" w:color="FFFFFF"/>
            </w:tcBorders>
            <w:shd w:val="clear" w:color="auto" w:fill="auto"/>
            <w:noWrap/>
            <w:hideMark/>
          </w:tcPr>
          <w:p w14:paraId="503799D2" w14:textId="558A987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4.1</w:t>
            </w:r>
          </w:p>
        </w:tc>
        <w:tc>
          <w:tcPr>
            <w:tcW w:w="560" w:type="dxa"/>
            <w:tcBorders>
              <w:top w:val="nil"/>
              <w:left w:val="nil"/>
              <w:bottom w:val="single" w:sz="4" w:space="0" w:color="FFFFFF"/>
              <w:right w:val="single" w:sz="4" w:space="0" w:color="D9D9D9"/>
            </w:tcBorders>
            <w:shd w:val="clear" w:color="auto" w:fill="auto"/>
            <w:noWrap/>
            <w:hideMark/>
          </w:tcPr>
          <w:p w14:paraId="0014FD63" w14:textId="0050EE2C"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0,0</w:t>
            </w:r>
          </w:p>
        </w:tc>
      </w:tr>
      <w:tr w:rsidR="001B66CA" w:rsidRPr="007F7A06" w14:paraId="3427231B" w14:textId="77777777" w:rsidTr="003B3360">
        <w:trPr>
          <w:trHeight w:val="300"/>
          <w:jc w:val="center"/>
        </w:trPr>
        <w:tc>
          <w:tcPr>
            <w:tcW w:w="5080" w:type="dxa"/>
            <w:tcBorders>
              <w:top w:val="nil"/>
              <w:left w:val="single" w:sz="4" w:space="0" w:color="D9D9D9"/>
              <w:bottom w:val="single" w:sz="4" w:space="0" w:color="FFFFFF"/>
              <w:right w:val="single" w:sz="4" w:space="0" w:color="FFFFFF"/>
            </w:tcBorders>
            <w:shd w:val="clear" w:color="auto" w:fill="auto"/>
            <w:hideMark/>
          </w:tcPr>
          <w:p w14:paraId="5B313C50" w14:textId="5EF10422" w:rsidR="001B66CA" w:rsidRPr="007842AA" w:rsidRDefault="001B66CA" w:rsidP="001B66CA">
            <w:pPr>
              <w:spacing w:after="0" w:line="240" w:lineRule="auto"/>
              <w:ind w:firstLineChars="100" w:firstLine="160"/>
              <w:jc w:val="left"/>
              <w:rPr>
                <w:rFonts w:ascii="Nunito Medium" w:eastAsia="Times New Roman" w:hAnsi="Nunito Medium" w:cs="Arial"/>
                <w:kern w:val="0"/>
                <w:sz w:val="16"/>
                <w:szCs w:val="16"/>
                <w:lang w:eastAsia="es-CO"/>
                <w14:ligatures w14:val="none"/>
              </w:rPr>
            </w:pPr>
            <w:r w:rsidRPr="007842AA">
              <w:rPr>
                <w:rFonts w:ascii="Nunito Medium" w:hAnsi="Nunito Medium"/>
                <w:sz w:val="16"/>
                <w:szCs w:val="16"/>
              </w:rPr>
              <w:t>Bienes y servicios exentos</w:t>
            </w:r>
          </w:p>
        </w:tc>
        <w:tc>
          <w:tcPr>
            <w:tcW w:w="1040" w:type="dxa"/>
            <w:tcBorders>
              <w:top w:val="nil"/>
              <w:left w:val="nil"/>
              <w:bottom w:val="single" w:sz="4" w:space="0" w:color="FFFFFF"/>
              <w:right w:val="single" w:sz="4" w:space="0" w:color="FFFFFF"/>
            </w:tcBorders>
            <w:shd w:val="clear" w:color="auto" w:fill="auto"/>
            <w:noWrap/>
            <w:hideMark/>
          </w:tcPr>
          <w:p w14:paraId="0AE3A11B" w14:textId="168C1FBC"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15.544</w:t>
            </w:r>
          </w:p>
        </w:tc>
        <w:tc>
          <w:tcPr>
            <w:tcW w:w="1040" w:type="dxa"/>
            <w:tcBorders>
              <w:top w:val="nil"/>
              <w:left w:val="nil"/>
              <w:bottom w:val="single" w:sz="4" w:space="0" w:color="FFFFFF"/>
              <w:right w:val="single" w:sz="4" w:space="0" w:color="FFFFFF"/>
            </w:tcBorders>
            <w:shd w:val="clear" w:color="auto" w:fill="auto"/>
            <w:noWrap/>
            <w:hideMark/>
          </w:tcPr>
          <w:p w14:paraId="59A84CB1" w14:textId="55FB89F3"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19.622</w:t>
            </w:r>
          </w:p>
        </w:tc>
        <w:tc>
          <w:tcPr>
            <w:tcW w:w="580" w:type="dxa"/>
            <w:tcBorders>
              <w:top w:val="nil"/>
              <w:left w:val="nil"/>
              <w:bottom w:val="single" w:sz="4" w:space="0" w:color="FFFFFF"/>
              <w:right w:val="single" w:sz="4" w:space="0" w:color="FFFFFF"/>
            </w:tcBorders>
            <w:shd w:val="clear" w:color="auto" w:fill="auto"/>
            <w:noWrap/>
            <w:hideMark/>
          </w:tcPr>
          <w:p w14:paraId="289311DF" w14:textId="3A17310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1.6</w:t>
            </w:r>
          </w:p>
        </w:tc>
        <w:tc>
          <w:tcPr>
            <w:tcW w:w="580" w:type="dxa"/>
            <w:tcBorders>
              <w:top w:val="nil"/>
              <w:left w:val="nil"/>
              <w:bottom w:val="single" w:sz="4" w:space="0" w:color="FFFFFF"/>
              <w:right w:val="single" w:sz="4" w:space="0" w:color="FFFFFF"/>
            </w:tcBorders>
            <w:shd w:val="clear" w:color="auto" w:fill="auto"/>
            <w:noWrap/>
            <w:hideMark/>
          </w:tcPr>
          <w:p w14:paraId="2D215D3F" w14:textId="61FDD048"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1.3</w:t>
            </w:r>
          </w:p>
        </w:tc>
        <w:tc>
          <w:tcPr>
            <w:tcW w:w="560" w:type="dxa"/>
            <w:tcBorders>
              <w:top w:val="nil"/>
              <w:left w:val="nil"/>
              <w:bottom w:val="single" w:sz="4" w:space="0" w:color="FFFFFF"/>
              <w:right w:val="single" w:sz="4" w:space="0" w:color="D9D9D9"/>
            </w:tcBorders>
            <w:shd w:val="clear" w:color="auto" w:fill="auto"/>
            <w:noWrap/>
            <w:hideMark/>
          </w:tcPr>
          <w:p w14:paraId="74030D6E" w14:textId="7A3D9380"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-0,3</w:t>
            </w:r>
          </w:p>
        </w:tc>
      </w:tr>
      <w:tr w:rsidR="001B66CA" w:rsidRPr="007F7A06" w14:paraId="55FA1590"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5C7A9D3F" w14:textId="58EDD32D"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Tarifa reducida del 5%</w:t>
            </w:r>
          </w:p>
        </w:tc>
        <w:tc>
          <w:tcPr>
            <w:tcW w:w="1040" w:type="dxa"/>
            <w:tcBorders>
              <w:top w:val="nil"/>
              <w:left w:val="nil"/>
              <w:bottom w:val="single" w:sz="4" w:space="0" w:color="FFFFFF"/>
              <w:right w:val="single" w:sz="4" w:space="0" w:color="FFFFFF"/>
            </w:tcBorders>
            <w:shd w:val="clear" w:color="auto" w:fill="auto"/>
            <w:noWrap/>
            <w:hideMark/>
          </w:tcPr>
          <w:p w14:paraId="66EF5CF1" w14:textId="2DAB8CF7"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4.828</w:t>
            </w:r>
          </w:p>
        </w:tc>
        <w:tc>
          <w:tcPr>
            <w:tcW w:w="1040" w:type="dxa"/>
            <w:tcBorders>
              <w:top w:val="nil"/>
              <w:left w:val="nil"/>
              <w:bottom w:val="single" w:sz="4" w:space="0" w:color="FFFFFF"/>
              <w:right w:val="single" w:sz="4" w:space="0" w:color="FFFFFF"/>
            </w:tcBorders>
            <w:shd w:val="clear" w:color="auto" w:fill="auto"/>
            <w:noWrap/>
            <w:hideMark/>
          </w:tcPr>
          <w:p w14:paraId="07CD6857" w14:textId="57465CC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6.929</w:t>
            </w:r>
          </w:p>
        </w:tc>
        <w:tc>
          <w:tcPr>
            <w:tcW w:w="580" w:type="dxa"/>
            <w:tcBorders>
              <w:top w:val="nil"/>
              <w:left w:val="nil"/>
              <w:bottom w:val="single" w:sz="4" w:space="0" w:color="FFFFFF"/>
              <w:right w:val="single" w:sz="4" w:space="0" w:color="FFFFFF"/>
            </w:tcBorders>
            <w:shd w:val="clear" w:color="auto" w:fill="auto"/>
            <w:noWrap/>
            <w:hideMark/>
          </w:tcPr>
          <w:p w14:paraId="6E287C76" w14:textId="7F60DA66"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0.4</w:t>
            </w:r>
          </w:p>
        </w:tc>
        <w:tc>
          <w:tcPr>
            <w:tcW w:w="580" w:type="dxa"/>
            <w:tcBorders>
              <w:top w:val="nil"/>
              <w:left w:val="nil"/>
              <w:bottom w:val="single" w:sz="4" w:space="0" w:color="FFFFFF"/>
              <w:right w:val="single" w:sz="4" w:space="0" w:color="FFFFFF"/>
            </w:tcBorders>
            <w:shd w:val="clear" w:color="auto" w:fill="auto"/>
            <w:noWrap/>
            <w:hideMark/>
          </w:tcPr>
          <w:p w14:paraId="223BB72D" w14:textId="4EDD5F6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0.5</w:t>
            </w:r>
          </w:p>
        </w:tc>
        <w:tc>
          <w:tcPr>
            <w:tcW w:w="560" w:type="dxa"/>
            <w:tcBorders>
              <w:top w:val="nil"/>
              <w:left w:val="nil"/>
              <w:bottom w:val="single" w:sz="4" w:space="0" w:color="FFFFFF"/>
              <w:right w:val="single" w:sz="4" w:space="0" w:color="D9D9D9"/>
            </w:tcBorders>
            <w:shd w:val="clear" w:color="auto" w:fill="auto"/>
            <w:noWrap/>
            <w:hideMark/>
          </w:tcPr>
          <w:p w14:paraId="67EEFA02" w14:textId="7B6F59EA"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0,1</w:t>
            </w:r>
          </w:p>
        </w:tc>
      </w:tr>
      <w:tr w:rsidR="001B66CA" w:rsidRPr="007F7A06" w14:paraId="61E58D52" w14:textId="77777777" w:rsidTr="003B3360">
        <w:trPr>
          <w:trHeight w:val="255"/>
          <w:jc w:val="center"/>
        </w:trPr>
        <w:tc>
          <w:tcPr>
            <w:tcW w:w="5080" w:type="dxa"/>
            <w:tcBorders>
              <w:top w:val="nil"/>
              <w:left w:val="single" w:sz="4" w:space="0" w:color="D9D9D9"/>
              <w:bottom w:val="single" w:sz="4" w:space="0" w:color="FFFFFF"/>
              <w:right w:val="single" w:sz="4" w:space="0" w:color="FFFFFF"/>
            </w:tcBorders>
            <w:shd w:val="clear" w:color="auto" w:fill="auto"/>
            <w:noWrap/>
            <w:hideMark/>
          </w:tcPr>
          <w:p w14:paraId="761A124C" w14:textId="22196F7A" w:rsidR="001B66CA" w:rsidRPr="007842AA" w:rsidRDefault="001B66CA" w:rsidP="001B66CA">
            <w:pPr>
              <w:spacing w:after="0" w:line="240" w:lineRule="auto"/>
              <w:ind w:firstLineChars="100" w:firstLine="160"/>
              <w:jc w:val="left"/>
              <w:rPr>
                <w:rFonts w:ascii="Nunito Medium" w:eastAsia="Times New Roman" w:hAnsi="Nunito Medium" w:cs="Arial"/>
                <w:color w:val="000000"/>
                <w:kern w:val="0"/>
                <w:sz w:val="16"/>
                <w:szCs w:val="16"/>
                <w:vertAlign w:val="superscript"/>
                <w:lang w:eastAsia="es-CO"/>
                <w14:ligatures w14:val="none"/>
              </w:rPr>
            </w:pPr>
            <w:r w:rsidRPr="007842AA">
              <w:rPr>
                <w:rFonts w:ascii="Nunito Medium" w:hAnsi="Nunito Medium"/>
                <w:sz w:val="16"/>
                <w:szCs w:val="16"/>
              </w:rPr>
              <w:t>No deducibilidad IVA bienes de inversión</w:t>
            </w:r>
            <w:r w:rsidRPr="006069A5">
              <w:rPr>
                <w:rFonts w:ascii="Nunito Medium" w:hAnsi="Nunito Medium"/>
                <w:sz w:val="16"/>
                <w:szCs w:val="16"/>
                <w:vertAlign w:val="superscript"/>
              </w:rPr>
              <w:t>3</w:t>
            </w:r>
          </w:p>
        </w:tc>
        <w:tc>
          <w:tcPr>
            <w:tcW w:w="1040" w:type="dxa"/>
            <w:tcBorders>
              <w:top w:val="nil"/>
              <w:left w:val="nil"/>
              <w:bottom w:val="single" w:sz="4" w:space="0" w:color="FFFFFF"/>
              <w:right w:val="single" w:sz="4" w:space="0" w:color="FFFFFF"/>
            </w:tcBorders>
            <w:shd w:val="clear" w:color="auto" w:fill="auto"/>
            <w:noWrap/>
            <w:hideMark/>
          </w:tcPr>
          <w:p w14:paraId="613CD768" w14:textId="6D0CB49B"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-6.090</w:t>
            </w:r>
          </w:p>
        </w:tc>
        <w:tc>
          <w:tcPr>
            <w:tcW w:w="1040" w:type="dxa"/>
            <w:tcBorders>
              <w:top w:val="nil"/>
              <w:left w:val="nil"/>
              <w:bottom w:val="single" w:sz="4" w:space="0" w:color="FFFFFF"/>
              <w:right w:val="single" w:sz="4" w:space="0" w:color="FFFFFF"/>
            </w:tcBorders>
            <w:shd w:val="clear" w:color="auto" w:fill="auto"/>
            <w:noWrap/>
            <w:hideMark/>
          </w:tcPr>
          <w:p w14:paraId="76209CE6" w14:textId="21FCADC6"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-9.470</w:t>
            </w:r>
          </w:p>
        </w:tc>
        <w:tc>
          <w:tcPr>
            <w:tcW w:w="580" w:type="dxa"/>
            <w:tcBorders>
              <w:top w:val="nil"/>
              <w:left w:val="nil"/>
              <w:bottom w:val="single" w:sz="4" w:space="0" w:color="FFFFFF"/>
              <w:right w:val="single" w:sz="4" w:space="0" w:color="FFFFFF"/>
            </w:tcBorders>
            <w:shd w:val="clear" w:color="auto" w:fill="auto"/>
            <w:noWrap/>
            <w:hideMark/>
          </w:tcPr>
          <w:p w14:paraId="5C3027E0" w14:textId="12899604"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-0.5</w:t>
            </w:r>
          </w:p>
        </w:tc>
        <w:tc>
          <w:tcPr>
            <w:tcW w:w="580" w:type="dxa"/>
            <w:tcBorders>
              <w:top w:val="nil"/>
              <w:left w:val="nil"/>
              <w:bottom w:val="single" w:sz="4" w:space="0" w:color="FFFFFF"/>
              <w:right w:val="single" w:sz="4" w:space="0" w:color="FFFFFF"/>
            </w:tcBorders>
            <w:shd w:val="clear" w:color="auto" w:fill="auto"/>
            <w:noWrap/>
            <w:hideMark/>
          </w:tcPr>
          <w:p w14:paraId="3E76B430" w14:textId="74EC544D"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-0.6</w:t>
            </w:r>
          </w:p>
        </w:tc>
        <w:tc>
          <w:tcPr>
            <w:tcW w:w="560" w:type="dxa"/>
            <w:tcBorders>
              <w:top w:val="nil"/>
              <w:left w:val="nil"/>
              <w:bottom w:val="single" w:sz="4" w:space="0" w:color="FFFFFF"/>
              <w:right w:val="single" w:sz="4" w:space="0" w:color="D9D9D9"/>
            </w:tcBorders>
            <w:shd w:val="clear" w:color="auto" w:fill="auto"/>
            <w:noWrap/>
            <w:hideMark/>
          </w:tcPr>
          <w:p w14:paraId="6AEB59EB" w14:textId="0A08F1BD" w:rsidR="001B66CA" w:rsidRPr="007842AA" w:rsidRDefault="001B66CA" w:rsidP="001B66CA">
            <w:pPr>
              <w:spacing w:after="0" w:line="240" w:lineRule="auto"/>
              <w:jc w:val="center"/>
              <w:rPr>
                <w:rFonts w:ascii="Nunito Medium" w:eastAsia="Times New Roman" w:hAnsi="Nunito Medium" w:cs="Arial"/>
                <w:color w:val="000000"/>
                <w:kern w:val="0"/>
                <w:sz w:val="16"/>
                <w:szCs w:val="16"/>
                <w:lang w:eastAsia="es-CO"/>
                <w14:ligatures w14:val="none"/>
              </w:rPr>
            </w:pPr>
            <w:r w:rsidRPr="007842AA">
              <w:rPr>
                <w:rFonts w:ascii="Nunito Medium" w:hAnsi="Nunito Medium"/>
                <w:sz w:val="16"/>
                <w:szCs w:val="16"/>
              </w:rPr>
              <w:t>-0,1</w:t>
            </w:r>
          </w:p>
        </w:tc>
      </w:tr>
      <w:tr w:rsidR="001B66CA" w:rsidRPr="007F7A06" w14:paraId="765793D9" w14:textId="77777777" w:rsidTr="003B3360">
        <w:trPr>
          <w:trHeight w:val="255"/>
          <w:jc w:val="center"/>
        </w:trPr>
        <w:tc>
          <w:tcPr>
            <w:tcW w:w="5080" w:type="dxa"/>
            <w:tcBorders>
              <w:top w:val="nil"/>
              <w:left w:val="single" w:sz="4" w:space="0" w:color="D9D9D9"/>
              <w:bottom w:val="single" w:sz="4" w:space="0" w:color="D9D9D9"/>
              <w:right w:val="single" w:sz="4" w:space="0" w:color="FFFFFF"/>
            </w:tcBorders>
            <w:shd w:val="clear" w:color="000000" w:fill="2B2D45"/>
            <w:noWrap/>
            <w:hideMark/>
          </w:tcPr>
          <w:p w14:paraId="3E6B73DB" w14:textId="58E0E21F" w:rsidR="001B66CA" w:rsidRPr="007842AA" w:rsidRDefault="001B66CA" w:rsidP="001B66CA">
            <w:pPr>
              <w:spacing w:after="0" w:line="240" w:lineRule="auto"/>
              <w:rPr>
                <w:rFonts w:ascii="Nunito Medium" w:eastAsia="Times New Roman" w:hAnsi="Nunito Medium" w:cs="Arial"/>
                <w:b/>
                <w:bCs/>
                <w:color w:val="FFFFFF"/>
                <w:kern w:val="0"/>
                <w:sz w:val="16"/>
                <w:szCs w:val="16"/>
                <w:lang w:eastAsia="es-CO"/>
                <w14:ligatures w14:val="none"/>
              </w:rPr>
            </w:pPr>
            <w:r w:rsidRPr="007842AA">
              <w:rPr>
                <w:rFonts w:ascii="Nunito Medium" w:hAnsi="Nunito Medium"/>
                <w:sz w:val="16"/>
                <w:szCs w:val="16"/>
              </w:rPr>
              <w:t>TOTAL</w:t>
            </w:r>
          </w:p>
        </w:tc>
        <w:tc>
          <w:tcPr>
            <w:tcW w:w="1040" w:type="dxa"/>
            <w:tcBorders>
              <w:top w:val="nil"/>
              <w:left w:val="nil"/>
              <w:bottom w:val="single" w:sz="4" w:space="0" w:color="D9D9D9"/>
              <w:right w:val="single" w:sz="4" w:space="0" w:color="FFFFFF"/>
            </w:tcBorders>
            <w:shd w:val="clear" w:color="000000" w:fill="2B2D45"/>
            <w:noWrap/>
            <w:hideMark/>
          </w:tcPr>
          <w:p w14:paraId="3B487612" w14:textId="76247273" w:rsidR="001B66CA" w:rsidRPr="007842AA" w:rsidRDefault="001B66CA" w:rsidP="001B66CA">
            <w:pPr>
              <w:spacing w:after="0" w:line="240" w:lineRule="auto"/>
              <w:jc w:val="center"/>
              <w:rPr>
                <w:rFonts w:ascii="Nunito Medium" w:eastAsia="Times New Roman" w:hAnsi="Nunito Medium" w:cs="Arial"/>
                <w:b/>
                <w:bCs/>
                <w:color w:val="FFFFFF"/>
                <w:kern w:val="0"/>
                <w:sz w:val="16"/>
                <w:szCs w:val="16"/>
                <w:lang w:eastAsia="es-CO"/>
                <w14:ligatures w14:val="none"/>
              </w:rPr>
            </w:pPr>
            <w:r w:rsidRPr="007842AA">
              <w:rPr>
                <w:rFonts w:ascii="Nunito Medium" w:hAnsi="Nunito Medium"/>
                <w:sz w:val="16"/>
                <w:szCs w:val="16"/>
              </w:rPr>
              <w:t xml:space="preserve"> 102.237 </w:t>
            </w:r>
          </w:p>
        </w:tc>
        <w:tc>
          <w:tcPr>
            <w:tcW w:w="1040" w:type="dxa"/>
            <w:tcBorders>
              <w:top w:val="nil"/>
              <w:left w:val="nil"/>
              <w:bottom w:val="single" w:sz="4" w:space="0" w:color="D9D9D9"/>
              <w:right w:val="single" w:sz="4" w:space="0" w:color="FFFFFF"/>
            </w:tcBorders>
            <w:shd w:val="clear" w:color="000000" w:fill="2B2D45"/>
            <w:noWrap/>
            <w:hideMark/>
          </w:tcPr>
          <w:p w14:paraId="65E65E63" w14:textId="2C2A2F2D" w:rsidR="001B66CA" w:rsidRPr="007842AA" w:rsidRDefault="001B66CA" w:rsidP="001B66CA">
            <w:pPr>
              <w:spacing w:after="0" w:line="240" w:lineRule="auto"/>
              <w:jc w:val="center"/>
              <w:rPr>
                <w:rFonts w:ascii="Nunito Medium" w:eastAsia="Times New Roman" w:hAnsi="Nunito Medium" w:cs="Arial"/>
                <w:b/>
                <w:bCs/>
                <w:color w:val="FFFFFF"/>
                <w:kern w:val="0"/>
                <w:sz w:val="16"/>
                <w:szCs w:val="16"/>
                <w:lang w:eastAsia="es-CO"/>
                <w14:ligatures w14:val="none"/>
              </w:rPr>
            </w:pPr>
            <w:r w:rsidRPr="007842AA">
              <w:rPr>
                <w:rFonts w:ascii="Nunito Medium" w:hAnsi="Nunito Medium"/>
                <w:sz w:val="16"/>
                <w:szCs w:val="16"/>
              </w:rPr>
              <w:t xml:space="preserve"> 129.068 </w:t>
            </w:r>
          </w:p>
        </w:tc>
        <w:tc>
          <w:tcPr>
            <w:tcW w:w="580" w:type="dxa"/>
            <w:tcBorders>
              <w:top w:val="nil"/>
              <w:left w:val="nil"/>
              <w:bottom w:val="single" w:sz="4" w:space="0" w:color="D9D9D9"/>
              <w:right w:val="single" w:sz="4" w:space="0" w:color="FFFFFF"/>
            </w:tcBorders>
            <w:shd w:val="clear" w:color="000000" w:fill="2B2D45"/>
            <w:noWrap/>
            <w:hideMark/>
          </w:tcPr>
          <w:p w14:paraId="51BFF19A" w14:textId="3797DB88" w:rsidR="001B66CA" w:rsidRPr="007842AA" w:rsidRDefault="001B66CA" w:rsidP="001B66CA">
            <w:pPr>
              <w:spacing w:after="0" w:line="240" w:lineRule="auto"/>
              <w:jc w:val="center"/>
              <w:rPr>
                <w:rFonts w:ascii="Nunito Medium" w:eastAsia="Times New Roman" w:hAnsi="Nunito Medium" w:cs="Arial"/>
                <w:b/>
                <w:bCs/>
                <w:color w:val="FFFFFF"/>
                <w:kern w:val="0"/>
                <w:sz w:val="16"/>
                <w:szCs w:val="16"/>
                <w:lang w:eastAsia="es-CO"/>
                <w14:ligatures w14:val="none"/>
              </w:rPr>
            </w:pPr>
            <w:r w:rsidRPr="007842AA">
              <w:rPr>
                <w:rFonts w:ascii="Nunito Medium" w:hAnsi="Nunito Medium"/>
                <w:sz w:val="16"/>
                <w:szCs w:val="16"/>
              </w:rPr>
              <w:t>8.8</w:t>
            </w:r>
          </w:p>
        </w:tc>
        <w:tc>
          <w:tcPr>
            <w:tcW w:w="580" w:type="dxa"/>
            <w:tcBorders>
              <w:top w:val="nil"/>
              <w:left w:val="nil"/>
              <w:bottom w:val="single" w:sz="4" w:space="0" w:color="D9D9D9"/>
              <w:right w:val="single" w:sz="4" w:space="0" w:color="FFFFFF"/>
            </w:tcBorders>
            <w:shd w:val="clear" w:color="000000" w:fill="2B2D45"/>
            <w:noWrap/>
            <w:hideMark/>
          </w:tcPr>
          <w:p w14:paraId="4BA48187" w14:textId="0B02F983" w:rsidR="001B66CA" w:rsidRPr="007842AA" w:rsidRDefault="001B66CA" w:rsidP="001B66CA">
            <w:pPr>
              <w:spacing w:after="0" w:line="240" w:lineRule="auto"/>
              <w:jc w:val="center"/>
              <w:rPr>
                <w:rFonts w:ascii="Nunito Medium" w:eastAsia="Times New Roman" w:hAnsi="Nunito Medium" w:cs="Arial"/>
                <w:b/>
                <w:bCs/>
                <w:color w:val="FFFFFF"/>
                <w:kern w:val="0"/>
                <w:sz w:val="16"/>
                <w:szCs w:val="16"/>
                <w:lang w:eastAsia="es-CO"/>
                <w14:ligatures w14:val="none"/>
              </w:rPr>
            </w:pPr>
            <w:r w:rsidRPr="007842AA">
              <w:rPr>
                <w:rFonts w:ascii="Nunito Medium" w:hAnsi="Nunito Medium"/>
                <w:sz w:val="16"/>
                <w:szCs w:val="16"/>
              </w:rPr>
              <w:t>8.8</w:t>
            </w:r>
          </w:p>
        </w:tc>
        <w:tc>
          <w:tcPr>
            <w:tcW w:w="560" w:type="dxa"/>
            <w:tcBorders>
              <w:top w:val="nil"/>
              <w:left w:val="nil"/>
              <w:bottom w:val="single" w:sz="4" w:space="0" w:color="D9D9D9"/>
              <w:right w:val="single" w:sz="4" w:space="0" w:color="D9D9D9"/>
            </w:tcBorders>
            <w:shd w:val="clear" w:color="000000" w:fill="2B2D45"/>
            <w:noWrap/>
            <w:hideMark/>
          </w:tcPr>
          <w:p w14:paraId="0109F70E" w14:textId="62D5A5FB" w:rsidR="001B66CA" w:rsidRPr="007842AA" w:rsidRDefault="001B66CA" w:rsidP="001B66CA">
            <w:pPr>
              <w:spacing w:after="0" w:line="240" w:lineRule="auto"/>
              <w:jc w:val="center"/>
              <w:rPr>
                <w:rFonts w:ascii="Nunito Medium" w:eastAsia="Times New Roman" w:hAnsi="Nunito Medium" w:cs="Arial"/>
                <w:b/>
                <w:bCs/>
                <w:color w:val="FFFFFF"/>
                <w:kern w:val="0"/>
                <w:sz w:val="16"/>
                <w:szCs w:val="16"/>
                <w:lang w:eastAsia="es-CO"/>
                <w14:ligatures w14:val="none"/>
              </w:rPr>
            </w:pPr>
            <w:r w:rsidRPr="007842AA">
              <w:rPr>
                <w:rFonts w:ascii="Nunito Medium" w:hAnsi="Nunito Medium"/>
                <w:sz w:val="16"/>
                <w:szCs w:val="16"/>
              </w:rPr>
              <w:t>0,0</w:t>
            </w:r>
          </w:p>
        </w:tc>
      </w:tr>
    </w:tbl>
    <w:p w14:paraId="20C63499" w14:textId="77777777" w:rsidR="00FF5A16" w:rsidRPr="001B37B2" w:rsidRDefault="00FF5A16" w:rsidP="00FF5A16">
      <w:pPr>
        <w:pStyle w:val="Pieyfuente"/>
      </w:pPr>
      <w:r w:rsidRPr="00A00AAE">
        <w:t xml:space="preserve">Fuente: </w:t>
      </w:r>
      <w:r>
        <w:t>Subdirección de Estudios Económicos, DIAN. Cálculos con base en la información exógena, Cuentas Nacionales del DANE y los formularios 110 y 210 de declaración de renta para personas jurídicas y naturales, respectivamente.</w:t>
      </w:r>
    </w:p>
    <w:p w14:paraId="6EDCA520" w14:textId="77777777" w:rsidR="00FF5A16" w:rsidRDefault="00FF5A16" w:rsidP="00FF5A16">
      <w:pPr>
        <w:pStyle w:val="Pieyfuente"/>
      </w:pPr>
      <w:r w:rsidRPr="00446A50">
        <w:t>Not</w:t>
      </w:r>
      <w:r>
        <w:t xml:space="preserve">as: </w:t>
      </w:r>
    </w:p>
    <w:p w14:paraId="21B7AAC6" w14:textId="77777777" w:rsidR="00FF5A16" w:rsidRDefault="00FF5A16" w:rsidP="00FF5A16">
      <w:pPr>
        <w:pStyle w:val="Pieyfuente"/>
      </w:pPr>
      <w:r>
        <w:t>*Los valores reportados son una cota inferior para el costo fiscal del GT, pues no todas las empresas que declaran renta tienen la obligación de reportar la totalidad de la información exógena y no todo el costo fiscal del GT identificado a partir del marco de referencia para ambos impuestos se puede cuantificar con la información disponible.</w:t>
      </w:r>
    </w:p>
    <w:p w14:paraId="1E1F2202" w14:textId="28AB9040" w:rsidR="00FF5A16" w:rsidRDefault="00FF5A16" w:rsidP="00FF5A16">
      <w:pPr>
        <w:pStyle w:val="Pieyfuente"/>
      </w:pPr>
      <w:r w:rsidRPr="006069A5">
        <w:rPr>
          <w:vertAlign w:val="superscript"/>
        </w:rPr>
        <w:t>1</w:t>
      </w:r>
      <w:r>
        <w:t xml:space="preserve"> Los ingresos no gravables corresponden a los Ingresos No Constitutivos de Renta ni Ganancia Ocasional (INCRGO) en la legislación colombiana.</w:t>
      </w:r>
    </w:p>
    <w:p w14:paraId="2B68636C" w14:textId="58C9B8EC" w:rsidR="00FF5A16" w:rsidRDefault="00FF5A16" w:rsidP="00FF5A16">
      <w:pPr>
        <w:pStyle w:val="Pieyfuente"/>
      </w:pPr>
      <w:r w:rsidRPr="006069A5">
        <w:rPr>
          <w:vertAlign w:val="superscript"/>
        </w:rPr>
        <w:t>2</w:t>
      </w:r>
      <w:r>
        <w:t xml:space="preserve"> </w:t>
      </w:r>
      <w:r w:rsidRPr="0020708A">
        <w:t>Esta estimación incorpora el costo fiscal proveniente de: i) los menores puntos de tarifa respecto de la tarifa general, a los que se enfrentan los contribuyentes de los regímenes de tarifa reducida; ii) la presencia de gastos tributarios que reducen la base gravable de estos contribuyentes y cuyo costo fiscal se cuantifica respecto de la diferencia entre la tarifa reducida y la tarifa general.</w:t>
      </w:r>
      <w:r>
        <w:t xml:space="preserve"> </w:t>
      </w:r>
    </w:p>
    <w:p w14:paraId="5EBADEA7" w14:textId="4DC80F20" w:rsidR="00FF5A16" w:rsidRDefault="00FF5A16" w:rsidP="00FF5A16">
      <w:pPr>
        <w:pStyle w:val="Pieyfuente"/>
      </w:pPr>
      <w:r w:rsidRPr="006069A5">
        <w:rPr>
          <w:vertAlign w:val="superscript"/>
        </w:rPr>
        <w:t>3</w:t>
      </w:r>
      <w:r>
        <w:t xml:space="preserve"> Tanto las sobretasas en el impuesto de renta como la no deducibilidad de IVA por bienes de inversión se consideran GT negativo: provisiones que están por fuera del marco de referencia y que </w:t>
      </w:r>
      <w:r>
        <w:rPr>
          <w:i/>
        </w:rPr>
        <w:t xml:space="preserve">aumentan </w:t>
      </w:r>
      <w:r>
        <w:t xml:space="preserve">los ingresos fiscales. </w:t>
      </w:r>
    </w:p>
    <w:p w14:paraId="088EB347" w14:textId="0EF90CDA" w:rsidR="00FC2F2E" w:rsidRPr="004B3A1C" w:rsidRDefault="00FF5A16" w:rsidP="00FF5A16">
      <w:pPr>
        <w:pStyle w:val="Pieyfuente"/>
      </w:pPr>
      <w:r w:rsidRPr="006069A5">
        <w:rPr>
          <w:vertAlign w:val="superscript"/>
        </w:rPr>
        <w:t>4</w:t>
      </w:r>
      <w:r>
        <w:t xml:space="preserve"> El costo fiscal se calcula a la tarifa a la que se enfrenta la respectiva persona jurídica.</w:t>
      </w:r>
    </w:p>
    <w:p w14:paraId="34FD4674" w14:textId="13410B98" w:rsidR="000C2661" w:rsidRDefault="000C2661" w:rsidP="00B33AA8">
      <w:pPr>
        <w:pStyle w:val="Ttulo3"/>
      </w:pPr>
      <w:bookmarkStart w:id="10" w:name="_Toc224633265"/>
      <w:r w:rsidRPr="00017DFC">
        <w:t xml:space="preserve">A.2.3. </w:t>
      </w:r>
      <w:r w:rsidR="00CC547F" w:rsidRPr="00CC547F">
        <w:t>Costo Fiscal de los Galones exentos del Impuesto Nacional a la Gasolina y el ACPM y de los metros cúbicos o galones no gravados en el Impuesto Nacional al Carbono</w:t>
      </w:r>
      <w:bookmarkEnd w:id="10"/>
    </w:p>
    <w:p w14:paraId="35322692" w14:textId="68A6CB0E" w:rsidR="000B49E4" w:rsidRPr="000B49E4" w:rsidRDefault="000B49E4" w:rsidP="000B49E4">
      <w:pPr>
        <w:rPr>
          <w:lang w:val="es-MX"/>
        </w:rPr>
      </w:pPr>
      <w:r w:rsidRPr="008B0DA9">
        <w:rPr>
          <w:b/>
          <w:bCs/>
          <w:lang w:val="es-MX"/>
        </w:rPr>
        <w:t>Si bien a la fecha de publicación de este documento, aún no se cuenta con un marco de referencia para el Impuesto Nacional al Carbono ni para el Impuesto Nacional a la Gasolina y el ACPM, se presenta en esta sección una actualización del costo fiscal de estos tributos, utilizando la metodología expuesta en marcos fiscales anteriores.</w:t>
      </w:r>
      <w:r w:rsidRPr="000B49E4">
        <w:rPr>
          <w:lang w:val="es-MX"/>
        </w:rPr>
        <w:t xml:space="preserve"> Los apéndices de vigencias pasadas incluían una sección que mostraba con un año de rezago el costo fiscal para estos dos impuestos, y suponían que este costo provenía en su totalidad </w:t>
      </w:r>
      <w:r w:rsidRPr="000B49E4">
        <w:rPr>
          <w:lang w:val="es-MX"/>
        </w:rPr>
        <w:lastRenderedPageBreak/>
        <w:t xml:space="preserve">de conceptos asociados a GT. En aras de mejorar las estimaciones, el marco fiscal del próximo año incorporará la cuantificación del gasto tributario explícitamente definido a partir de un </w:t>
      </w:r>
      <w:r w:rsidRPr="00B97CAB">
        <w:rPr>
          <w:i/>
          <w:iCs/>
          <w:lang w:val="es-MX"/>
        </w:rPr>
        <w:t>benchmark</w:t>
      </w:r>
      <w:r w:rsidRPr="000B49E4">
        <w:rPr>
          <w:lang w:val="es-MX"/>
        </w:rPr>
        <w:t>.</w:t>
      </w:r>
    </w:p>
    <w:p w14:paraId="406BED37" w14:textId="746553D7" w:rsidR="000B49E4" w:rsidRPr="000B49E4" w:rsidRDefault="000B49E4" w:rsidP="000B49E4">
      <w:pPr>
        <w:rPr>
          <w:lang w:val="es-MX"/>
        </w:rPr>
      </w:pPr>
      <w:r w:rsidRPr="008B0DA9">
        <w:rPr>
          <w:b/>
          <w:bCs/>
          <w:lang w:val="es-MX"/>
        </w:rPr>
        <w:t>El gasto tributario del impuesto al carbono evidenció una disminución de $118mm respecto al año 2022, situándose en $320mm en el año gravable 2023 (0,02% del PIB).</w:t>
      </w:r>
      <w:r w:rsidRPr="000B49E4">
        <w:rPr>
          <w:lang w:val="es-MX"/>
        </w:rPr>
        <w:t xml:space="preserve"> El 84,0% de este costo fiscal se relaciona con los ingresos que deja de percibir el país producto de los combustibles fósiles certificados como carbono neutro. En particular, este concepto disminuyó 30,6% entre 2022 y 2023, pasando de $388mm a $269mm. Por otro lado, el 2,5% del costo fiscal total hace alusión al concepto de diésel marino y combustibles para reaprovisionamiento, el cual disminuyó 77,9% al pasar de $35,6mm a $7,9mm en el mismo periodo. De igual manera, el costo fiscal en este impuesto asociado a los combustibles fósiles para exportación representó un 13,4% del total y creció 189,3%, pasando de $14,9 mm en 2022 a $43,0 mm en 2023. Finalmente, el costo fiscal del gasto tributario por la gasolina y el ACPM asociado a los departamentos y municipios exentos decreció en conjunto 65,8%, aunque no representa una gran proporción en el total. En este contexto, el costo fiscal total del impuesto nacional al carbono experimentó una reducción significativa de 27,0% entre 2022 y 2023.</w:t>
      </w:r>
    </w:p>
    <w:p w14:paraId="21003309" w14:textId="0778340C" w:rsidR="000C2661" w:rsidRPr="009055FA" w:rsidRDefault="000B49E4" w:rsidP="000B49E4">
      <w:pPr>
        <w:rPr>
          <w:lang w:val="es-MX"/>
        </w:rPr>
      </w:pPr>
      <w:r w:rsidRPr="005319D2">
        <w:rPr>
          <w:b/>
          <w:bCs/>
          <w:lang w:val="es-MX"/>
        </w:rPr>
        <w:t>Por su parte, el costo fiscal de los galones exentos del Impuesto Nacional a la Gasolina y ACPM fue de $386 mm en 2023, manteniéndose estable en términos del PIB entre 2022 y 2023 (0,02%).</w:t>
      </w:r>
      <w:r w:rsidRPr="000B49E4">
        <w:rPr>
          <w:lang w:val="es-MX"/>
        </w:rPr>
        <w:t xml:space="preserve"> El monto de este costo fiscal registró un crecimiento nominal de 12,7% frente al año gravable 2022. Esta dinámica se sustentó en un incremento de la venta o retiro no gravado en zonas de frontera, tanto de Gasolina Motor Corriente como de ACPM. En el primer caso el costo fiscal creció 8,7% contribuyendo en 5,0pp a la variación total anual, mientras que para el ACPM se presentó una variación positiva de 18,3%, que se tradujo en una contribución a la variación total de 7,6pp. Finalmente, el costo fiscal asociado a la venta y retiro de gasolina extra en zona de frontera aumentó 4,5% entre 2022 y 2023.</w:t>
      </w:r>
    </w:p>
    <w:sectPr w:rsidR="000C2661" w:rsidRPr="009055FA">
      <w:headerReference w:type="default" r:id="rId9"/>
      <w:footerReference w:type="even" r:id="rId10"/>
      <w:footerReference w:type="defaul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02FD0" w14:textId="77777777" w:rsidR="00571107" w:rsidRDefault="00571107" w:rsidP="000C2661">
      <w:pPr>
        <w:spacing w:after="0" w:line="240" w:lineRule="auto"/>
      </w:pPr>
      <w:r>
        <w:separator/>
      </w:r>
    </w:p>
  </w:endnote>
  <w:endnote w:type="continuationSeparator" w:id="0">
    <w:p w14:paraId="49871F50" w14:textId="77777777" w:rsidR="00571107" w:rsidRDefault="00571107" w:rsidP="000C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Nunito Sans ExtraBold">
    <w:altName w:val="Calibri"/>
    <w:charset w:val="00"/>
    <w:family w:val="auto"/>
    <w:pitch w:val="variable"/>
    <w:sig w:usb0="A00002FF" w:usb1="5000204B" w:usb2="00000000" w:usb3="00000000" w:csb0="00000197" w:csb1="00000000"/>
  </w:font>
  <w:font w:name="Nunito SemiBold">
    <w:charset w:val="00"/>
    <w:family w:val="auto"/>
    <w:pitch w:val="variable"/>
    <w:sig w:usb0="A00002FF" w:usb1="5000204B" w:usb2="00000000" w:usb3="00000000" w:csb0="00000197"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unito Medium">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F61E" w14:textId="3526512A" w:rsidR="000D2FB9" w:rsidRDefault="000D2FB9">
    <w:pPr>
      <w:pStyle w:val="Piedepgina"/>
    </w:pPr>
    <w:r>
      <w:rPr>
        <w:noProof/>
      </w:rPr>
      <mc:AlternateContent>
        <mc:Choice Requires="wps">
          <w:drawing>
            <wp:anchor distT="0" distB="0" distL="0" distR="0" simplePos="0" relativeHeight="251659264" behindDoc="0" locked="0" layoutInCell="1" allowOverlap="1" wp14:anchorId="1A0479D3" wp14:editId="49DDAE91">
              <wp:simplePos x="635" y="635"/>
              <wp:positionH relativeFrom="page">
                <wp:align>right</wp:align>
              </wp:positionH>
              <wp:positionV relativeFrom="page">
                <wp:align>bottom</wp:align>
              </wp:positionV>
              <wp:extent cx="443865" cy="443865"/>
              <wp:effectExtent l="0" t="0" r="0" b="0"/>
              <wp:wrapNone/>
              <wp:docPr id="1375501171" name="Cuadro de texto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6D1C64" w14:textId="78E7108D" w:rsidR="000D2FB9" w:rsidRPr="000D2FB9" w:rsidRDefault="000D2FB9" w:rsidP="000D2FB9">
                          <w:pPr>
                            <w:spacing w:after="0"/>
                            <w:rPr>
                              <w:rFonts w:ascii="Calibri" w:eastAsia="Calibri" w:hAnsi="Calibri" w:cs="Calibri"/>
                              <w:noProof/>
                              <w:color w:val="000000"/>
                              <w:sz w:val="20"/>
                              <w:szCs w:val="20"/>
                            </w:rPr>
                          </w:pPr>
                          <w:r w:rsidRPr="000D2FB9">
                            <w:rPr>
                              <w:rFonts w:ascii="Calibri" w:eastAsia="Calibri" w:hAnsi="Calibri" w:cs="Calibri"/>
                              <w:noProof/>
                              <w:color w:val="000000"/>
                              <w:sz w:val="20"/>
                              <w:szCs w:val="20"/>
                            </w:rPr>
                            <w:t>Información Pública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A0479D3" id="_x0000_t202" coordsize="21600,21600" o:spt="202" path="m,l,21600r21600,l21600,xe">
              <v:stroke joinstyle="miter"/>
              <v:path gradientshapeok="t" o:connecttype="rect"/>
            </v:shapetype>
            <v:shape id="Cuadro de texto 2" o:spid="_x0000_s1026" type="#_x0000_t202" alt="Información Pública" style="position:absolute;left:0;text-align:left;margin-left:-16.25pt;margin-top:0;width:34.95pt;height:34.9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46D1C64" w14:textId="78E7108D" w:rsidR="000D2FB9" w:rsidRPr="000D2FB9" w:rsidRDefault="000D2FB9" w:rsidP="000D2FB9">
                    <w:pPr>
                      <w:spacing w:after="0"/>
                      <w:rPr>
                        <w:rFonts w:ascii="Calibri" w:eastAsia="Calibri" w:hAnsi="Calibri" w:cs="Calibri"/>
                        <w:noProof/>
                        <w:color w:val="000000"/>
                        <w:sz w:val="20"/>
                        <w:szCs w:val="20"/>
                      </w:rPr>
                    </w:pPr>
                    <w:r w:rsidRPr="000D2FB9">
                      <w:rPr>
                        <w:rFonts w:ascii="Calibri" w:eastAsia="Calibri" w:hAnsi="Calibri" w:cs="Calibri"/>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957BB" w14:textId="77777777" w:rsidR="0062668E" w:rsidRPr="0062668E" w:rsidRDefault="0062668E">
    <w:pPr>
      <w:pStyle w:val="Piedepgina"/>
      <w:jc w:val="center"/>
      <w:rPr>
        <w:caps/>
        <w:color w:val="606060"/>
        <w:sz w:val="20"/>
        <w:szCs w:val="20"/>
      </w:rPr>
    </w:pPr>
    <w:r w:rsidRPr="0062668E">
      <w:rPr>
        <w:caps/>
        <w:color w:val="606060"/>
        <w:sz w:val="20"/>
        <w:szCs w:val="20"/>
      </w:rPr>
      <w:fldChar w:fldCharType="begin"/>
    </w:r>
    <w:r w:rsidRPr="0062668E">
      <w:rPr>
        <w:caps/>
        <w:color w:val="606060"/>
        <w:sz w:val="20"/>
        <w:szCs w:val="20"/>
      </w:rPr>
      <w:instrText>PAGE   \* MERGEFORMAT</w:instrText>
    </w:r>
    <w:r w:rsidRPr="0062668E">
      <w:rPr>
        <w:caps/>
        <w:color w:val="606060"/>
        <w:sz w:val="20"/>
        <w:szCs w:val="20"/>
      </w:rPr>
      <w:fldChar w:fldCharType="separate"/>
    </w:r>
    <w:r w:rsidRPr="0062668E">
      <w:rPr>
        <w:caps/>
        <w:color w:val="606060"/>
        <w:sz w:val="20"/>
        <w:szCs w:val="20"/>
        <w:lang w:val="es-ES"/>
      </w:rPr>
      <w:t>2</w:t>
    </w:r>
    <w:r w:rsidRPr="0062668E">
      <w:rPr>
        <w:caps/>
        <w:color w:val="606060"/>
        <w:sz w:val="20"/>
        <w:szCs w:val="20"/>
      </w:rPr>
      <w:fldChar w:fldCharType="end"/>
    </w:r>
  </w:p>
  <w:p w14:paraId="0EFDCB51" w14:textId="6CE3A762" w:rsidR="000D2FB9" w:rsidRDefault="000D2FB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F3A5" w14:textId="36603D65" w:rsidR="000D2FB9" w:rsidRDefault="000D2FB9">
    <w:pPr>
      <w:pStyle w:val="Piedepgina"/>
    </w:pPr>
    <w:r>
      <w:rPr>
        <w:noProof/>
      </w:rPr>
      <mc:AlternateContent>
        <mc:Choice Requires="wps">
          <w:drawing>
            <wp:anchor distT="0" distB="0" distL="0" distR="0" simplePos="0" relativeHeight="251658240" behindDoc="0" locked="0" layoutInCell="1" allowOverlap="1" wp14:anchorId="25201B7E" wp14:editId="199E8100">
              <wp:simplePos x="635" y="635"/>
              <wp:positionH relativeFrom="page">
                <wp:align>right</wp:align>
              </wp:positionH>
              <wp:positionV relativeFrom="page">
                <wp:align>bottom</wp:align>
              </wp:positionV>
              <wp:extent cx="443865" cy="443865"/>
              <wp:effectExtent l="0" t="0" r="0" b="0"/>
              <wp:wrapNone/>
              <wp:docPr id="1542179863" name="Cuadro de texto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463C16" w14:textId="1B7BEF49" w:rsidR="000D2FB9" w:rsidRPr="000D2FB9" w:rsidRDefault="000D2FB9" w:rsidP="000D2FB9">
                          <w:pPr>
                            <w:spacing w:after="0"/>
                            <w:rPr>
                              <w:rFonts w:ascii="Calibri" w:eastAsia="Calibri" w:hAnsi="Calibri" w:cs="Calibri"/>
                              <w:noProof/>
                              <w:color w:val="000000"/>
                              <w:sz w:val="20"/>
                              <w:szCs w:val="20"/>
                            </w:rPr>
                          </w:pPr>
                          <w:r w:rsidRPr="000D2FB9">
                            <w:rPr>
                              <w:rFonts w:ascii="Calibri" w:eastAsia="Calibri" w:hAnsi="Calibri" w:cs="Calibri"/>
                              <w:noProof/>
                              <w:color w:val="000000"/>
                              <w:sz w:val="20"/>
                              <w:szCs w:val="20"/>
                            </w:rPr>
                            <w:t>Información Pública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5201B7E" id="_x0000_t202" coordsize="21600,21600" o:spt="202" path="m,l,21600r21600,l21600,xe">
              <v:stroke joinstyle="miter"/>
              <v:path gradientshapeok="t" o:connecttype="rect"/>
            </v:shapetype>
            <v:shape id="Cuadro de texto 1" o:spid="_x0000_s1027" type="#_x0000_t202" alt="Información Pública"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42463C16" w14:textId="1B7BEF49" w:rsidR="000D2FB9" w:rsidRPr="000D2FB9" w:rsidRDefault="000D2FB9" w:rsidP="000D2FB9">
                    <w:pPr>
                      <w:spacing w:after="0"/>
                      <w:rPr>
                        <w:rFonts w:ascii="Calibri" w:eastAsia="Calibri" w:hAnsi="Calibri" w:cs="Calibri"/>
                        <w:noProof/>
                        <w:color w:val="000000"/>
                        <w:sz w:val="20"/>
                        <w:szCs w:val="20"/>
                      </w:rPr>
                    </w:pPr>
                    <w:r w:rsidRPr="000D2FB9">
                      <w:rPr>
                        <w:rFonts w:ascii="Calibri" w:eastAsia="Calibri" w:hAnsi="Calibri" w:cs="Calibri"/>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1F1C7" w14:textId="77777777" w:rsidR="00571107" w:rsidRDefault="00571107" w:rsidP="000C2661">
      <w:pPr>
        <w:spacing w:after="0" w:line="240" w:lineRule="auto"/>
      </w:pPr>
      <w:r>
        <w:separator/>
      </w:r>
    </w:p>
  </w:footnote>
  <w:footnote w:type="continuationSeparator" w:id="0">
    <w:p w14:paraId="0442DC3D" w14:textId="77777777" w:rsidR="00571107" w:rsidRDefault="00571107" w:rsidP="000C2661">
      <w:pPr>
        <w:spacing w:after="0" w:line="240" w:lineRule="auto"/>
      </w:pPr>
      <w:r>
        <w:continuationSeparator/>
      </w:r>
    </w:p>
  </w:footnote>
  <w:footnote w:id="1">
    <w:p w14:paraId="0BF69759" w14:textId="6C8A5F45" w:rsidR="008660E9" w:rsidRPr="001520A2" w:rsidRDefault="008660E9">
      <w:pPr>
        <w:pStyle w:val="Textonotapie"/>
        <w:rPr>
          <w:color w:val="606060"/>
        </w:rPr>
      </w:pPr>
      <w:r w:rsidRPr="001520A2">
        <w:rPr>
          <w:rStyle w:val="Refdenotaalpie"/>
          <w:color w:val="606060"/>
          <w:sz w:val="16"/>
          <w:szCs w:val="16"/>
        </w:rPr>
        <w:footnoteRef/>
      </w:r>
      <w:r w:rsidRPr="001520A2">
        <w:rPr>
          <w:color w:val="606060"/>
          <w:sz w:val="16"/>
          <w:szCs w:val="16"/>
        </w:rPr>
        <w:t xml:space="preserve"> </w:t>
      </w:r>
      <w:r w:rsidR="00CB515E" w:rsidRPr="001520A2">
        <w:rPr>
          <w:color w:val="606060"/>
          <w:sz w:val="16"/>
          <w:szCs w:val="16"/>
        </w:rPr>
        <w:t>El archivo Excel anexo a este informe contiene los datos utilizados para la construcción de las tablas y gráficos</w:t>
      </w:r>
      <w:r w:rsidR="000C38FE" w:rsidRPr="001520A2">
        <w:rPr>
          <w:color w:val="606060"/>
          <w:sz w:val="16"/>
          <w:szCs w:val="16"/>
        </w:rPr>
        <w:t xml:space="preserve"> dentro del documento. Además, se </w:t>
      </w:r>
      <w:r w:rsidR="00C12660" w:rsidRPr="001520A2">
        <w:rPr>
          <w:color w:val="606060"/>
          <w:sz w:val="16"/>
          <w:szCs w:val="16"/>
        </w:rPr>
        <w:t>presentan tab</w:t>
      </w:r>
      <w:r w:rsidR="008A2BE8" w:rsidRPr="001520A2">
        <w:rPr>
          <w:color w:val="606060"/>
          <w:sz w:val="16"/>
          <w:szCs w:val="16"/>
        </w:rPr>
        <w:t>las con las estimaciones del costo fiscal de los gastos tributarios en el impuesto de renta y el IVA</w:t>
      </w:r>
      <w:r w:rsidR="001520A2" w:rsidRPr="001520A2">
        <w:rPr>
          <w:color w:val="606060"/>
          <w:sz w:val="16"/>
          <w:szCs w:val="16"/>
        </w:rPr>
        <w:t xml:space="preserve"> desagregado por concepto.</w:t>
      </w:r>
    </w:p>
  </w:footnote>
  <w:footnote w:id="2">
    <w:p w14:paraId="7ED175E1" w14:textId="018234E0" w:rsidR="001520A2" w:rsidRPr="001520A2" w:rsidRDefault="001520A2">
      <w:pPr>
        <w:pStyle w:val="Textonotapie"/>
      </w:pPr>
      <w:r w:rsidRPr="003303E7">
        <w:rPr>
          <w:color w:val="606060"/>
          <w:sz w:val="16"/>
          <w:szCs w:val="16"/>
          <w:vertAlign w:val="superscript"/>
        </w:rPr>
        <w:footnoteRef/>
      </w:r>
      <w:r w:rsidRPr="003303E7">
        <w:rPr>
          <w:color w:val="606060"/>
          <w:sz w:val="16"/>
          <w:szCs w:val="16"/>
        </w:rPr>
        <w:t xml:space="preserve"> </w:t>
      </w:r>
      <w:r w:rsidRPr="00035A5E">
        <w:rPr>
          <w:color w:val="606060"/>
          <w:sz w:val="16"/>
          <w:szCs w:val="16"/>
        </w:rPr>
        <w:t xml:space="preserve">Agradecemos a </w:t>
      </w:r>
      <w:r w:rsidR="00035A5E" w:rsidRPr="00035A5E">
        <w:rPr>
          <w:color w:val="606060"/>
          <w:sz w:val="16"/>
          <w:szCs w:val="16"/>
        </w:rPr>
        <w:t>Alexis Galindo Higuera</w:t>
      </w:r>
      <w:r w:rsidR="008136FD" w:rsidRPr="00035A5E">
        <w:rPr>
          <w:color w:val="606060"/>
          <w:sz w:val="16"/>
          <w:szCs w:val="16"/>
        </w:rPr>
        <w:t xml:space="preserve">, Fabián Sarmiento Valero y </w:t>
      </w:r>
      <w:r w:rsidR="00035A5E" w:rsidRPr="00035A5E">
        <w:rPr>
          <w:color w:val="606060"/>
          <w:sz w:val="16"/>
          <w:szCs w:val="16"/>
        </w:rPr>
        <w:t xml:space="preserve">Fabián Potosi Majin, por su apoyo con la preparación de insumos para la elaboración de este documento, y a </w:t>
      </w:r>
      <w:r w:rsidR="008136FD" w:rsidRPr="00035A5E">
        <w:rPr>
          <w:color w:val="606060"/>
          <w:sz w:val="16"/>
          <w:szCs w:val="16"/>
        </w:rPr>
        <w:t>Juan Camilo Sánchez Delgado por su apoyo en</w:t>
      </w:r>
      <w:r w:rsidR="00035A5E" w:rsidRPr="00035A5E">
        <w:rPr>
          <w:color w:val="606060"/>
          <w:sz w:val="16"/>
          <w:szCs w:val="16"/>
        </w:rPr>
        <w:t xml:space="preserve"> la edición.</w:t>
      </w:r>
    </w:p>
  </w:footnote>
  <w:footnote w:id="3">
    <w:p w14:paraId="44E104E4" w14:textId="6FB5F565" w:rsidR="00C832B5" w:rsidRPr="00C832B5" w:rsidRDefault="00C832B5">
      <w:pPr>
        <w:pStyle w:val="Textonotapie"/>
      </w:pPr>
      <w:r w:rsidRPr="00725357">
        <w:rPr>
          <w:color w:val="606060"/>
          <w:sz w:val="16"/>
          <w:szCs w:val="24"/>
          <w:vertAlign w:val="superscript"/>
        </w:rPr>
        <w:footnoteRef/>
      </w:r>
      <w:r w:rsidRPr="00725357">
        <w:rPr>
          <w:color w:val="606060"/>
          <w:sz w:val="16"/>
          <w:szCs w:val="24"/>
        </w:rPr>
        <w:t xml:space="preserve"> </w:t>
      </w:r>
      <w:r w:rsidR="00725357" w:rsidRPr="00725357">
        <w:rPr>
          <w:color w:val="606060"/>
          <w:sz w:val="16"/>
          <w:szCs w:val="24"/>
        </w:rPr>
        <w:t>El costo fiscal del gasto tributario comprende las pérdidas en recaudo asociadas a concesiones de naturaleza similar a la de un gasto directo gubernamental, pero con consecuencias sobre las finanzas públicas muy diferentes. Por ejemplo, entre dos países, uno que permite la deducción en el impuesto de renta de las donaciones caritativas y otro que da un pago del mismo valor a las organizaciones de beneficencia, el segundo país tendrá una presión fiscal mayor que el primero, manteniendo todo lo demás constante.</w:t>
      </w:r>
    </w:p>
  </w:footnote>
  <w:footnote w:id="4">
    <w:p w14:paraId="35937EDF" w14:textId="18C52B7F" w:rsidR="004E2084" w:rsidRPr="004E2084" w:rsidRDefault="004E2084">
      <w:pPr>
        <w:pStyle w:val="Textonotapie"/>
      </w:pPr>
      <w:r w:rsidRPr="00456749">
        <w:rPr>
          <w:color w:val="606060"/>
          <w:sz w:val="16"/>
          <w:szCs w:val="24"/>
          <w:vertAlign w:val="superscript"/>
        </w:rPr>
        <w:footnoteRef/>
      </w:r>
      <w:r w:rsidR="00456749">
        <w:rPr>
          <w:color w:val="606060"/>
          <w:sz w:val="16"/>
          <w:szCs w:val="24"/>
        </w:rPr>
        <w:t xml:space="preserve"> </w:t>
      </w:r>
      <w:r w:rsidR="00456749" w:rsidRPr="00456749">
        <w:rPr>
          <w:color w:val="606060"/>
          <w:sz w:val="16"/>
          <w:szCs w:val="24"/>
        </w:rPr>
        <w:t>La información detallada para la construcción de este marco de referencia se encuentra disponible para consulta en línea en https://www.oecd.org/tax/tax-policy/oecd-tax-policy-reviews-colombia-2022-054722db-en.htm</w:t>
      </w:r>
    </w:p>
  </w:footnote>
  <w:footnote w:id="5">
    <w:p w14:paraId="77D7C07A" w14:textId="7D33562C" w:rsidR="008560EF" w:rsidRPr="008560EF" w:rsidRDefault="008560EF">
      <w:pPr>
        <w:pStyle w:val="Textonotapie"/>
      </w:pPr>
      <w:r w:rsidRPr="00D64F4F">
        <w:rPr>
          <w:color w:val="606060"/>
          <w:sz w:val="16"/>
          <w:szCs w:val="24"/>
          <w:vertAlign w:val="superscript"/>
        </w:rPr>
        <w:footnoteRef/>
      </w:r>
      <w:r w:rsidRPr="00D64F4F">
        <w:rPr>
          <w:color w:val="606060"/>
          <w:sz w:val="16"/>
          <w:szCs w:val="24"/>
        </w:rPr>
        <w:t xml:space="preserve"> </w:t>
      </w:r>
      <w:r w:rsidR="00854FF3" w:rsidRPr="00D64F4F">
        <w:rPr>
          <w:color w:val="606060"/>
          <w:sz w:val="16"/>
          <w:szCs w:val="24"/>
        </w:rPr>
        <w:t>Los valores reportados son una cota inferior para el costo fiscal del GT, pues no todas las empresas que declaran renta tienen la obligación de reportar la totalidad de la información exógena y no todo el costo fiscal del GT identificado a partir del marco de referencia para ambos impuestos se puede cuantificar con la información disponible.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B81F" w14:textId="138EF2C4" w:rsidR="00DD2934" w:rsidRPr="00DD2934" w:rsidRDefault="00DD2934">
    <w:pPr>
      <w:pStyle w:val="Encabezado"/>
      <w:rPr>
        <w:color w:val="606060"/>
        <w:sz w:val="18"/>
        <w:szCs w:val="18"/>
        <w:lang w:val="es-MX"/>
      </w:rPr>
    </w:pPr>
    <w:r w:rsidRPr="00DD2934">
      <w:rPr>
        <w:color w:val="606060"/>
        <w:sz w:val="18"/>
        <w:szCs w:val="18"/>
        <w:lang w:val="es-MX"/>
      </w:rPr>
      <w:t>UAE. DIAN – Subdirección de Estudios Económicos, Cuaderno de Trabajo No. 08</w:t>
    </w:r>
    <w:r w:rsidR="005024F9">
      <w:rPr>
        <w:color w:val="606060"/>
        <w:sz w:val="18"/>
        <w:szCs w:val="18"/>
        <w:lang w:val="es-MX"/>
      </w:rPr>
      <w:t>3</w:t>
    </w:r>
    <w:r w:rsidRPr="00DD2934">
      <w:rPr>
        <w:color w:val="606060"/>
        <w:sz w:val="18"/>
        <w:szCs w:val="18"/>
        <w:lang w:val="es-MX"/>
      </w:rPr>
      <w:t>: “Gasto tributario en el impuesto sobre la renta, el impuesto al valor agregado (IVA) y otros impuestos nacionales – año gravable 202</w:t>
    </w:r>
    <w:r w:rsidR="000C1B26">
      <w:rPr>
        <w:color w:val="606060"/>
        <w:sz w:val="18"/>
        <w:szCs w:val="18"/>
        <w:lang w:val="es-MX"/>
      </w:rPr>
      <w:t>2</w:t>
    </w:r>
    <w:r w:rsidRPr="00DD2934">
      <w:rPr>
        <w:color w:val="606060"/>
        <w:sz w:val="18"/>
        <w:szCs w:val="18"/>
        <w:lang w:val="es-MX"/>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FA"/>
    <w:rsid w:val="00023455"/>
    <w:rsid w:val="00027E2F"/>
    <w:rsid w:val="00031F2D"/>
    <w:rsid w:val="00035A5E"/>
    <w:rsid w:val="00064717"/>
    <w:rsid w:val="00066F0B"/>
    <w:rsid w:val="000B49E4"/>
    <w:rsid w:val="000C1B26"/>
    <w:rsid w:val="000C2661"/>
    <w:rsid w:val="000C38FE"/>
    <w:rsid w:val="000D2FB9"/>
    <w:rsid w:val="000E765E"/>
    <w:rsid w:val="000F03A9"/>
    <w:rsid w:val="00100F46"/>
    <w:rsid w:val="0011105C"/>
    <w:rsid w:val="00136B43"/>
    <w:rsid w:val="0014453A"/>
    <w:rsid w:val="001520A2"/>
    <w:rsid w:val="001738DF"/>
    <w:rsid w:val="001814A5"/>
    <w:rsid w:val="001B66CA"/>
    <w:rsid w:val="001D4F0D"/>
    <w:rsid w:val="001D5AF1"/>
    <w:rsid w:val="001F137E"/>
    <w:rsid w:val="00204971"/>
    <w:rsid w:val="00227BA7"/>
    <w:rsid w:val="00236326"/>
    <w:rsid w:val="00280D3E"/>
    <w:rsid w:val="00290BAD"/>
    <w:rsid w:val="00292BF2"/>
    <w:rsid w:val="002B5263"/>
    <w:rsid w:val="002C3C11"/>
    <w:rsid w:val="002D1AD7"/>
    <w:rsid w:val="003202CA"/>
    <w:rsid w:val="003303E7"/>
    <w:rsid w:val="00345915"/>
    <w:rsid w:val="00355138"/>
    <w:rsid w:val="00360E30"/>
    <w:rsid w:val="003826FC"/>
    <w:rsid w:val="00394E70"/>
    <w:rsid w:val="00395F47"/>
    <w:rsid w:val="003A2568"/>
    <w:rsid w:val="003D3F64"/>
    <w:rsid w:val="003F4C96"/>
    <w:rsid w:val="00425D76"/>
    <w:rsid w:val="00425E12"/>
    <w:rsid w:val="0044321B"/>
    <w:rsid w:val="00453365"/>
    <w:rsid w:val="00456749"/>
    <w:rsid w:val="004662ED"/>
    <w:rsid w:val="00476294"/>
    <w:rsid w:val="00491E82"/>
    <w:rsid w:val="00491F71"/>
    <w:rsid w:val="00497160"/>
    <w:rsid w:val="004B3A1C"/>
    <w:rsid w:val="004E2084"/>
    <w:rsid w:val="004E7D3B"/>
    <w:rsid w:val="005024F9"/>
    <w:rsid w:val="005217A0"/>
    <w:rsid w:val="00531387"/>
    <w:rsid w:val="005319D2"/>
    <w:rsid w:val="00534959"/>
    <w:rsid w:val="005478FD"/>
    <w:rsid w:val="00571107"/>
    <w:rsid w:val="0058287D"/>
    <w:rsid w:val="005914EF"/>
    <w:rsid w:val="006069A5"/>
    <w:rsid w:val="0061312F"/>
    <w:rsid w:val="0061597E"/>
    <w:rsid w:val="0062668E"/>
    <w:rsid w:val="00635762"/>
    <w:rsid w:val="00641F1B"/>
    <w:rsid w:val="00662FBA"/>
    <w:rsid w:val="006779A7"/>
    <w:rsid w:val="006825CC"/>
    <w:rsid w:val="006947DF"/>
    <w:rsid w:val="006A27C0"/>
    <w:rsid w:val="006C28E0"/>
    <w:rsid w:val="006F6A1F"/>
    <w:rsid w:val="007027E1"/>
    <w:rsid w:val="00705487"/>
    <w:rsid w:val="007151DE"/>
    <w:rsid w:val="00725357"/>
    <w:rsid w:val="00751482"/>
    <w:rsid w:val="00784233"/>
    <w:rsid w:val="007842AA"/>
    <w:rsid w:val="00786567"/>
    <w:rsid w:val="007948EC"/>
    <w:rsid w:val="007C03B4"/>
    <w:rsid w:val="007C4647"/>
    <w:rsid w:val="007C5B4E"/>
    <w:rsid w:val="007D4AFD"/>
    <w:rsid w:val="007D4D3A"/>
    <w:rsid w:val="007E1879"/>
    <w:rsid w:val="007F7A06"/>
    <w:rsid w:val="008046A7"/>
    <w:rsid w:val="008136FD"/>
    <w:rsid w:val="00831F32"/>
    <w:rsid w:val="00850281"/>
    <w:rsid w:val="00854FF3"/>
    <w:rsid w:val="008560EF"/>
    <w:rsid w:val="00856A88"/>
    <w:rsid w:val="008660E9"/>
    <w:rsid w:val="00891274"/>
    <w:rsid w:val="0089307F"/>
    <w:rsid w:val="008A2BE8"/>
    <w:rsid w:val="008A3675"/>
    <w:rsid w:val="008A6496"/>
    <w:rsid w:val="008B025C"/>
    <w:rsid w:val="008B0DA9"/>
    <w:rsid w:val="008C0DD0"/>
    <w:rsid w:val="008D4E5D"/>
    <w:rsid w:val="008E40A5"/>
    <w:rsid w:val="008E4FED"/>
    <w:rsid w:val="008F2909"/>
    <w:rsid w:val="009055FA"/>
    <w:rsid w:val="00920FBB"/>
    <w:rsid w:val="009441CB"/>
    <w:rsid w:val="009568C3"/>
    <w:rsid w:val="00995BF5"/>
    <w:rsid w:val="009B7776"/>
    <w:rsid w:val="009D7C4D"/>
    <w:rsid w:val="009E7D99"/>
    <w:rsid w:val="009F4B0D"/>
    <w:rsid w:val="00A275BD"/>
    <w:rsid w:val="00A351B2"/>
    <w:rsid w:val="00A36B08"/>
    <w:rsid w:val="00A61622"/>
    <w:rsid w:val="00A72802"/>
    <w:rsid w:val="00A77BDA"/>
    <w:rsid w:val="00A8157E"/>
    <w:rsid w:val="00A836B6"/>
    <w:rsid w:val="00A92E50"/>
    <w:rsid w:val="00AA66EC"/>
    <w:rsid w:val="00AC2118"/>
    <w:rsid w:val="00AD2A3B"/>
    <w:rsid w:val="00AD2C57"/>
    <w:rsid w:val="00AD316E"/>
    <w:rsid w:val="00AE4EA5"/>
    <w:rsid w:val="00B07458"/>
    <w:rsid w:val="00B2562C"/>
    <w:rsid w:val="00B33AA8"/>
    <w:rsid w:val="00B8010D"/>
    <w:rsid w:val="00B97CAB"/>
    <w:rsid w:val="00BA0A85"/>
    <w:rsid w:val="00BB31B6"/>
    <w:rsid w:val="00BD40FC"/>
    <w:rsid w:val="00BD4966"/>
    <w:rsid w:val="00C12660"/>
    <w:rsid w:val="00C318F2"/>
    <w:rsid w:val="00C521EB"/>
    <w:rsid w:val="00C62B6F"/>
    <w:rsid w:val="00C832B5"/>
    <w:rsid w:val="00C861D2"/>
    <w:rsid w:val="00C92B7C"/>
    <w:rsid w:val="00C9743B"/>
    <w:rsid w:val="00CA2AA4"/>
    <w:rsid w:val="00CB515E"/>
    <w:rsid w:val="00CC547F"/>
    <w:rsid w:val="00CC7D58"/>
    <w:rsid w:val="00CD44CB"/>
    <w:rsid w:val="00D06BBB"/>
    <w:rsid w:val="00D37CB1"/>
    <w:rsid w:val="00D522DF"/>
    <w:rsid w:val="00D64F4F"/>
    <w:rsid w:val="00D77829"/>
    <w:rsid w:val="00D9758B"/>
    <w:rsid w:val="00DC15BB"/>
    <w:rsid w:val="00DD2934"/>
    <w:rsid w:val="00E0126C"/>
    <w:rsid w:val="00E0363F"/>
    <w:rsid w:val="00E07DDB"/>
    <w:rsid w:val="00E172FA"/>
    <w:rsid w:val="00E22339"/>
    <w:rsid w:val="00E43B08"/>
    <w:rsid w:val="00E872BB"/>
    <w:rsid w:val="00E95351"/>
    <w:rsid w:val="00EA20EA"/>
    <w:rsid w:val="00EA5F7F"/>
    <w:rsid w:val="00EE2F46"/>
    <w:rsid w:val="00EE5DB5"/>
    <w:rsid w:val="00F01FAA"/>
    <w:rsid w:val="00F03C2F"/>
    <w:rsid w:val="00F3199F"/>
    <w:rsid w:val="00F547D7"/>
    <w:rsid w:val="00F941EA"/>
    <w:rsid w:val="00FC2F2E"/>
    <w:rsid w:val="00FE0527"/>
    <w:rsid w:val="00FE360B"/>
    <w:rsid w:val="00FF4903"/>
    <w:rsid w:val="00FF5A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52B9E"/>
  <w15:chartTrackingRefBased/>
  <w15:docId w15:val="{00C81D03-692D-420B-961F-B1BCAD00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47"/>
    <w:pPr>
      <w:jc w:val="both"/>
    </w:pPr>
    <w:rPr>
      <w:rFonts w:ascii="Nunito" w:hAnsi="Nunito"/>
    </w:rPr>
  </w:style>
  <w:style w:type="paragraph" w:styleId="Ttulo1">
    <w:name w:val="heading 1"/>
    <w:basedOn w:val="Normal"/>
    <w:next w:val="Normal"/>
    <w:link w:val="Ttulo1Car"/>
    <w:uiPriority w:val="9"/>
    <w:qFormat/>
    <w:rsid w:val="00B33AA8"/>
    <w:pPr>
      <w:keepNext/>
      <w:keepLines/>
      <w:spacing w:before="240" w:after="0"/>
      <w:outlineLvl w:val="0"/>
    </w:pPr>
    <w:rPr>
      <w:rFonts w:ascii="Nunito Sans ExtraBold" w:eastAsiaTheme="majorEastAsia" w:hAnsi="Nunito Sans ExtraBold" w:cstheme="majorBidi"/>
      <w:color w:val="2B2D45"/>
      <w:sz w:val="28"/>
      <w:szCs w:val="32"/>
    </w:rPr>
  </w:style>
  <w:style w:type="paragraph" w:styleId="Ttulo2">
    <w:name w:val="heading 2"/>
    <w:basedOn w:val="Normal"/>
    <w:next w:val="Normal"/>
    <w:link w:val="Ttulo2Car"/>
    <w:uiPriority w:val="9"/>
    <w:unhideWhenUsed/>
    <w:qFormat/>
    <w:rsid w:val="00B33AA8"/>
    <w:pPr>
      <w:keepNext/>
      <w:keepLines/>
      <w:spacing w:before="80" w:after="80"/>
      <w:outlineLvl w:val="1"/>
    </w:pPr>
    <w:rPr>
      <w:rFonts w:ascii="Nunito SemiBold" w:eastAsiaTheme="majorEastAsia" w:hAnsi="Nunito SemiBold" w:cstheme="majorBidi"/>
      <w:color w:val="2B2D45"/>
      <w:sz w:val="24"/>
      <w:szCs w:val="26"/>
    </w:rPr>
  </w:style>
  <w:style w:type="paragraph" w:styleId="Ttulo3">
    <w:name w:val="heading 3"/>
    <w:basedOn w:val="Normal"/>
    <w:next w:val="Normal"/>
    <w:link w:val="Ttulo3Car"/>
    <w:uiPriority w:val="9"/>
    <w:unhideWhenUsed/>
    <w:qFormat/>
    <w:rsid w:val="00497160"/>
    <w:pPr>
      <w:keepNext/>
      <w:keepLines/>
      <w:spacing w:before="240"/>
      <w:outlineLvl w:val="2"/>
    </w:pPr>
    <w:rPr>
      <w:rFonts w:eastAsiaTheme="majorEastAsia" w:cstheme="majorBidi"/>
      <w:color w:val="0098DA"/>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33AA8"/>
    <w:rPr>
      <w:rFonts w:ascii="Nunito SemiBold" w:eastAsiaTheme="majorEastAsia" w:hAnsi="Nunito SemiBold" w:cstheme="majorBidi"/>
      <w:color w:val="2B2D45"/>
      <w:sz w:val="24"/>
      <w:szCs w:val="26"/>
    </w:rPr>
  </w:style>
  <w:style w:type="character" w:customStyle="1" w:styleId="Ttulo1Car">
    <w:name w:val="Título 1 Car"/>
    <w:basedOn w:val="Fuentedeprrafopredeter"/>
    <w:link w:val="Ttulo1"/>
    <w:uiPriority w:val="9"/>
    <w:rsid w:val="00B33AA8"/>
    <w:rPr>
      <w:rFonts w:ascii="Nunito Sans ExtraBold" w:eastAsiaTheme="majorEastAsia" w:hAnsi="Nunito Sans ExtraBold" w:cstheme="majorBidi"/>
      <w:color w:val="2B2D45"/>
      <w:sz w:val="28"/>
      <w:szCs w:val="32"/>
    </w:rPr>
  </w:style>
  <w:style w:type="paragraph" w:customStyle="1" w:styleId="Prrafos">
    <w:name w:val="Párrafos"/>
    <w:basedOn w:val="Normal"/>
    <w:link w:val="PrrafosCar"/>
    <w:autoRedefine/>
    <w:qFormat/>
    <w:rsid w:val="000D2FB9"/>
    <w:pPr>
      <w:spacing w:after="0" w:line="240" w:lineRule="auto"/>
    </w:pPr>
    <w:rPr>
      <w:rFonts w:ascii="Verdana" w:hAnsi="Verdana"/>
      <w:b/>
      <w:bCs/>
      <w:sz w:val="21"/>
      <w:szCs w:val="24"/>
    </w:rPr>
  </w:style>
  <w:style w:type="character" w:customStyle="1" w:styleId="PrrafosCar">
    <w:name w:val="Párrafos Car"/>
    <w:basedOn w:val="Fuentedeprrafopredeter"/>
    <w:link w:val="Prrafos"/>
    <w:rsid w:val="000D2FB9"/>
    <w:rPr>
      <w:rFonts w:ascii="Verdana" w:hAnsi="Verdana"/>
      <w:b/>
      <w:bCs/>
      <w:sz w:val="21"/>
      <w:szCs w:val="24"/>
    </w:rPr>
  </w:style>
  <w:style w:type="character" w:styleId="Hipervnculo">
    <w:name w:val="Hyperlink"/>
    <w:basedOn w:val="Fuentedeprrafopredeter"/>
    <w:uiPriority w:val="99"/>
    <w:unhideWhenUsed/>
    <w:rsid w:val="000C2661"/>
    <w:rPr>
      <w:color w:val="0563C1" w:themeColor="hyperlink"/>
      <w:u w:val="single"/>
    </w:rPr>
  </w:style>
  <w:style w:type="paragraph" w:customStyle="1" w:styleId="Pieyfuente">
    <w:name w:val="Pie y fuente"/>
    <w:basedOn w:val="Normal"/>
    <w:next w:val="Prrafos"/>
    <w:link w:val="PieyfuenteCar"/>
    <w:autoRedefine/>
    <w:qFormat/>
    <w:rsid w:val="00D06BBB"/>
    <w:pPr>
      <w:spacing w:after="0" w:line="240" w:lineRule="auto"/>
    </w:pPr>
    <w:rPr>
      <w:color w:val="606060"/>
      <w:sz w:val="16"/>
      <w:szCs w:val="24"/>
    </w:rPr>
  </w:style>
  <w:style w:type="character" w:customStyle="1" w:styleId="PieyfuenteCar">
    <w:name w:val="Pie y fuente Car"/>
    <w:basedOn w:val="Fuentedeprrafopredeter"/>
    <w:link w:val="Pieyfuente"/>
    <w:rsid w:val="00D06BBB"/>
    <w:rPr>
      <w:rFonts w:ascii="Nunito" w:hAnsi="Nunito"/>
      <w:color w:val="606060"/>
      <w:sz w:val="16"/>
      <w:szCs w:val="24"/>
    </w:rPr>
  </w:style>
  <w:style w:type="paragraph" w:customStyle="1" w:styleId="SubRec">
    <w:name w:val="Sub. Rec"/>
    <w:basedOn w:val="Normal"/>
    <w:link w:val="SubRecCar"/>
    <w:autoRedefine/>
    <w:qFormat/>
    <w:rsid w:val="000C2661"/>
    <w:pPr>
      <w:spacing w:after="0" w:line="240" w:lineRule="auto"/>
    </w:pPr>
    <w:rPr>
      <w:rFonts w:ascii="Verdana" w:hAnsi="Verdana"/>
      <w:b/>
      <w:color w:val="097C79"/>
      <w:szCs w:val="24"/>
    </w:rPr>
  </w:style>
  <w:style w:type="character" w:customStyle="1" w:styleId="SubRecCar">
    <w:name w:val="Sub. Rec Car"/>
    <w:basedOn w:val="Fuentedeprrafopredeter"/>
    <w:link w:val="SubRec"/>
    <w:rsid w:val="000C2661"/>
    <w:rPr>
      <w:rFonts w:ascii="Verdana" w:hAnsi="Verdana"/>
      <w:b/>
      <w:color w:val="097C79"/>
      <w:szCs w:val="24"/>
    </w:rPr>
  </w:style>
  <w:style w:type="paragraph" w:customStyle="1" w:styleId="Grficosytablas">
    <w:name w:val="Gráficos y tablas"/>
    <w:basedOn w:val="Normal"/>
    <w:next w:val="Normal"/>
    <w:link w:val="GrficosytablasCar"/>
    <w:autoRedefine/>
    <w:qFormat/>
    <w:rsid w:val="000C2661"/>
    <w:pPr>
      <w:spacing w:after="0" w:line="240" w:lineRule="auto"/>
    </w:pPr>
    <w:rPr>
      <w:rFonts w:ascii="Verdana" w:hAnsi="Verdana"/>
      <w:b/>
      <w:color w:val="264644"/>
      <w:sz w:val="21"/>
      <w:szCs w:val="24"/>
    </w:rPr>
  </w:style>
  <w:style w:type="character" w:customStyle="1" w:styleId="GrficosytablasCar">
    <w:name w:val="Gráficos y tablas Car"/>
    <w:basedOn w:val="SubRecCar"/>
    <w:link w:val="Grficosytablas"/>
    <w:rsid w:val="000C2661"/>
    <w:rPr>
      <w:rFonts w:ascii="Verdana" w:hAnsi="Verdana"/>
      <w:b/>
      <w:color w:val="264644"/>
      <w:sz w:val="21"/>
      <w:szCs w:val="24"/>
    </w:rPr>
  </w:style>
  <w:style w:type="paragraph" w:styleId="Textonotapie">
    <w:name w:val="footnote text"/>
    <w:basedOn w:val="Normal"/>
    <w:link w:val="TextonotapieCar"/>
    <w:uiPriority w:val="99"/>
    <w:semiHidden/>
    <w:unhideWhenUsed/>
    <w:rsid w:val="000C266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C2661"/>
    <w:rPr>
      <w:sz w:val="20"/>
      <w:szCs w:val="20"/>
    </w:rPr>
  </w:style>
  <w:style w:type="character" w:styleId="Refdenotaalpie">
    <w:name w:val="footnote reference"/>
    <w:aliases w:val="Footnote Reference Number,Footnote Reference_LVL6,Footnote Reference_LVL61,Footnote Reference_LVL62,Footnote Reference_LVL63,Footnote Reference_LVL64,fr,ftref,SUPERS,EN Footnote Reference,number,Footnote symbol,Rabbani Footnote,Ref,F"/>
    <w:basedOn w:val="Fuentedeprrafopredeter"/>
    <w:link w:val="Char2"/>
    <w:uiPriority w:val="99"/>
    <w:unhideWhenUsed/>
    <w:qFormat/>
    <w:rsid w:val="000C2661"/>
    <w:rPr>
      <w:vertAlign w:val="superscript"/>
    </w:rPr>
  </w:style>
  <w:style w:type="paragraph" w:customStyle="1" w:styleId="Char2">
    <w:name w:val="Char2"/>
    <w:basedOn w:val="Normal"/>
    <w:link w:val="Refdenotaalpie"/>
    <w:uiPriority w:val="99"/>
    <w:rsid w:val="000C2661"/>
    <w:pPr>
      <w:spacing w:line="240" w:lineRule="exact"/>
    </w:pPr>
    <w:rPr>
      <w:vertAlign w:val="superscript"/>
    </w:rPr>
  </w:style>
  <w:style w:type="character" w:customStyle="1" w:styleId="Ttulo3Car">
    <w:name w:val="Título 3 Car"/>
    <w:basedOn w:val="Fuentedeprrafopredeter"/>
    <w:link w:val="Ttulo3"/>
    <w:uiPriority w:val="9"/>
    <w:rsid w:val="00497160"/>
    <w:rPr>
      <w:rFonts w:ascii="Nunito" w:eastAsiaTheme="majorEastAsia" w:hAnsi="Nunito" w:cstheme="majorBidi"/>
      <w:color w:val="0098DA"/>
      <w:szCs w:val="24"/>
    </w:rPr>
  </w:style>
  <w:style w:type="paragraph" w:styleId="Descripcin">
    <w:name w:val="caption"/>
    <w:basedOn w:val="Normal"/>
    <w:next w:val="Normal"/>
    <w:uiPriority w:val="35"/>
    <w:unhideWhenUsed/>
    <w:qFormat/>
    <w:rsid w:val="00B33AA8"/>
    <w:pPr>
      <w:spacing w:after="200" w:line="240" w:lineRule="auto"/>
      <w:jc w:val="center"/>
    </w:pPr>
    <w:rPr>
      <w:i/>
      <w:iCs/>
      <w:color w:val="136587"/>
      <w:szCs w:val="18"/>
    </w:rPr>
  </w:style>
  <w:style w:type="paragraph" w:styleId="Piedepgina">
    <w:name w:val="footer"/>
    <w:basedOn w:val="Normal"/>
    <w:link w:val="PiedepginaCar"/>
    <w:uiPriority w:val="99"/>
    <w:unhideWhenUsed/>
    <w:rsid w:val="000D2F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2FB9"/>
  </w:style>
  <w:style w:type="paragraph" w:styleId="Encabezado">
    <w:name w:val="header"/>
    <w:basedOn w:val="Normal"/>
    <w:link w:val="EncabezadoCar"/>
    <w:uiPriority w:val="99"/>
    <w:unhideWhenUsed/>
    <w:rsid w:val="00995B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5BF5"/>
    <w:rPr>
      <w:rFonts w:ascii="Nunito" w:hAnsi="Nunito"/>
    </w:rPr>
  </w:style>
  <w:style w:type="paragraph" w:styleId="Tabladeilustraciones">
    <w:name w:val="table of figures"/>
    <w:basedOn w:val="Normal"/>
    <w:next w:val="Normal"/>
    <w:uiPriority w:val="99"/>
    <w:unhideWhenUsed/>
    <w:rsid w:val="00290BAD"/>
    <w:pPr>
      <w:spacing w:after="0"/>
    </w:pPr>
  </w:style>
  <w:style w:type="paragraph" w:styleId="TDC2">
    <w:name w:val="toc 2"/>
    <w:basedOn w:val="Normal"/>
    <w:next w:val="Normal"/>
    <w:autoRedefine/>
    <w:uiPriority w:val="39"/>
    <w:unhideWhenUsed/>
    <w:rsid w:val="007C4647"/>
    <w:pPr>
      <w:spacing w:after="100"/>
    </w:pPr>
    <w:rPr>
      <w:b/>
    </w:rPr>
  </w:style>
  <w:style w:type="paragraph" w:styleId="TDC3">
    <w:name w:val="toc 3"/>
    <w:basedOn w:val="Normal"/>
    <w:next w:val="Normal"/>
    <w:autoRedefine/>
    <w:uiPriority w:val="39"/>
    <w:unhideWhenUsed/>
    <w:rsid w:val="008A3675"/>
    <w:pPr>
      <w:spacing w:after="100"/>
    </w:pPr>
  </w:style>
  <w:style w:type="paragraph" w:styleId="TDC4">
    <w:name w:val="toc 4"/>
    <w:basedOn w:val="Normal"/>
    <w:next w:val="Normal"/>
    <w:autoRedefine/>
    <w:uiPriority w:val="39"/>
    <w:semiHidden/>
    <w:unhideWhenUsed/>
    <w:rsid w:val="008A367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76043">
      <w:bodyDiv w:val="1"/>
      <w:marLeft w:val="0"/>
      <w:marRight w:val="0"/>
      <w:marTop w:val="0"/>
      <w:marBottom w:val="0"/>
      <w:divBdr>
        <w:top w:val="none" w:sz="0" w:space="0" w:color="auto"/>
        <w:left w:val="none" w:sz="0" w:space="0" w:color="auto"/>
        <w:bottom w:val="none" w:sz="0" w:space="0" w:color="auto"/>
        <w:right w:val="none" w:sz="0" w:space="0" w:color="auto"/>
      </w:divBdr>
    </w:div>
    <w:div w:id="984088793">
      <w:bodyDiv w:val="1"/>
      <w:marLeft w:val="0"/>
      <w:marRight w:val="0"/>
      <w:marTop w:val="0"/>
      <w:marBottom w:val="0"/>
      <w:divBdr>
        <w:top w:val="none" w:sz="0" w:space="0" w:color="auto"/>
        <w:left w:val="none" w:sz="0" w:space="0" w:color="auto"/>
        <w:bottom w:val="none" w:sz="0" w:space="0" w:color="auto"/>
        <w:right w:val="none" w:sz="0" w:space="0" w:color="auto"/>
      </w:divBdr>
    </w:div>
    <w:div w:id="1205562112">
      <w:bodyDiv w:val="1"/>
      <w:marLeft w:val="0"/>
      <w:marRight w:val="0"/>
      <w:marTop w:val="0"/>
      <w:marBottom w:val="0"/>
      <w:divBdr>
        <w:top w:val="none" w:sz="0" w:space="0" w:color="auto"/>
        <w:left w:val="none" w:sz="0" w:space="0" w:color="auto"/>
        <w:bottom w:val="none" w:sz="0" w:space="0" w:color="auto"/>
        <w:right w:val="none" w:sz="0" w:space="0" w:color="auto"/>
      </w:divBdr>
    </w:div>
    <w:div w:id="1277714689">
      <w:bodyDiv w:val="1"/>
      <w:marLeft w:val="0"/>
      <w:marRight w:val="0"/>
      <w:marTop w:val="0"/>
      <w:marBottom w:val="0"/>
      <w:divBdr>
        <w:top w:val="none" w:sz="0" w:space="0" w:color="auto"/>
        <w:left w:val="none" w:sz="0" w:space="0" w:color="auto"/>
        <w:bottom w:val="none" w:sz="0" w:space="0" w:color="auto"/>
        <w:right w:val="none" w:sz="0" w:space="0" w:color="auto"/>
      </w:divBdr>
    </w:div>
    <w:div w:id="14946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3DBBF5ADEA52F445930D803278EF1D46" ma:contentTypeVersion="6" ma:contentTypeDescription="Crear nuevo documento." ma:contentTypeScope="" ma:versionID="e4898f1bd6609ce470076f7684046543">
  <xsd:schema xmlns:xsd="http://www.w3.org/2001/XMLSchema" xmlns:xs="http://www.w3.org/2001/XMLSchema" xmlns:p="http://schemas.microsoft.com/office/2006/metadata/properties" xmlns:ns2="fba5bf48-a6f1-4574-b002-35a7f5d2eb2a" xmlns:ns3="2febaad4-4a94-47d8-bd40-dd72d5026160" targetNamespace="http://schemas.microsoft.com/office/2006/metadata/properties" ma:root="true" ma:fieldsID="75c677a5c82231c1b19f704feff88921" ns2:_="" ns3:_="">
    <xsd:import namespace="fba5bf48-a6f1-4574-b002-35a7f5d2eb2a"/>
    <xsd:import namespace="2febaad4-4a94-47d8-bd40-dd72d5026160"/>
    <xsd:element name="properties">
      <xsd:complexType>
        <xsd:sequence>
          <xsd:element name="documentManagement">
            <xsd:complexType>
              <xsd:all>
                <xsd:element ref="ns2:Autor_x0028_es_x0029_"/>
                <xsd:element ref="ns2:u9vm" minOccurs="0"/>
                <xsd:element ref="ns3:SharedWithUsers" minOccurs="0"/>
                <xsd:element ref="ns2:ankc" minOccurs="0"/>
                <xsd:element ref="ns2:beau" minOccurs="0"/>
                <xsd:element ref="ns2:Fecha_x0020_de_x0020_creaci_x00f3_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5bf48-a6f1-4574-b002-35a7f5d2eb2a" elementFormDefault="qualified">
    <xsd:import namespace="http://schemas.microsoft.com/office/2006/documentManagement/types"/>
    <xsd:import namespace="http://schemas.microsoft.com/office/infopath/2007/PartnerControls"/>
    <xsd:element name="Autor_x0028_es_x0029_" ma:index="2" ma:displayName="Autor(es)" ma:internalName="Autor_x0028_es_x0029_">
      <xsd:simpleType>
        <xsd:restriction base="dms:Note">
          <xsd:maxLength value="255"/>
        </xsd:restriction>
      </xsd:simpleType>
    </xsd:element>
    <xsd:element name="u9vm" ma:index="3" nillable="true" ma:displayName="Fecha de Elaboración" ma:internalName="u9vm">
      <xsd:simpleType>
        <xsd:restriction base="dms:Text"/>
      </xsd:simpleType>
    </xsd:element>
    <xsd:element name="ankc" ma:index="11" nillable="true" ma:displayName="Año" ma:internalName="ankc">
      <xsd:simpleType>
        <xsd:restriction base="dms:Text">
          <xsd:maxLength value="255"/>
        </xsd:restriction>
      </xsd:simpleType>
    </xsd:element>
    <xsd:element name="beau" ma:index="12" nillable="true" ma:displayName="Número" ma:internalName="beau">
      <xsd:simpleType>
        <xsd:restriction base="dms:Number"/>
      </xsd:simpleType>
    </xsd:element>
    <xsd:element name="Fecha_x0020_de_x0020_creaci_x00f3_n" ma:index="13" nillable="true" ma:displayName="Fecha de creación" ma:format="DateOnly" ma:internalName="Fecha_x0020_de_x0020_creaci_x00f3_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febaad4-4a94-47d8-bd40-dd72d5026160" elementFormDefault="qualified">
    <xsd:import namespace="http://schemas.microsoft.com/office/2006/documentManagement/types"/>
    <xsd:import namespace="http://schemas.microsoft.com/office/infopath/2007/PartnerControls"/>
    <xsd:element name="SharedWithUsers" ma:index="6"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9vm xmlns="fba5bf48-a6f1-4574-b002-35a7f5d2eb2a">Noviembre de 2025</u9vm>
    <beau xmlns="fba5bf48-a6f1-4574-b002-35a7f5d2eb2a" xsi:nil="true"/>
    <Autor_x0028_es_x0029_ xmlns="fba5bf48-a6f1-4574-b002-35a7f5d2eb2a">Subdirección de Estudios Económicos</Autor_x0028_es_x0029_>
    <ankc xmlns="fba5bf48-a6f1-4574-b002-35a7f5d2eb2a">2024</ankc>
    <Fecha_x0020_de_x0020_creaci_x00f3_n xmlns="fba5bf48-a6f1-4574-b002-35a7f5d2eb2a">2026-08-11T05:00:00+00:00</Fecha_x0020_de_x0020_creaci_x00f3_n>
  </documentManagement>
</p:properties>
</file>

<file path=customXml/itemProps1.xml><?xml version="1.0" encoding="utf-8"?>
<ds:datastoreItem xmlns:ds="http://schemas.openxmlformats.org/officeDocument/2006/customXml" ds:itemID="{61ABED7F-0638-4A7A-AEBE-A493A505FDF1}">
  <ds:schemaRefs>
    <ds:schemaRef ds:uri="http://schemas.openxmlformats.org/officeDocument/2006/bibliography"/>
  </ds:schemaRefs>
</ds:datastoreItem>
</file>

<file path=customXml/itemProps2.xml><?xml version="1.0" encoding="utf-8"?>
<ds:datastoreItem xmlns:ds="http://schemas.openxmlformats.org/officeDocument/2006/customXml" ds:itemID="{C21263C3-66E5-4F32-A713-83ECDC4489AA}"/>
</file>

<file path=customXml/itemProps3.xml><?xml version="1.0" encoding="utf-8"?>
<ds:datastoreItem xmlns:ds="http://schemas.openxmlformats.org/officeDocument/2006/customXml" ds:itemID="{57A2353C-9218-49C1-B03D-09372A2F7C8E}"/>
</file>

<file path=customXml/itemProps4.xml><?xml version="1.0" encoding="utf-8"?>
<ds:datastoreItem xmlns:ds="http://schemas.openxmlformats.org/officeDocument/2006/customXml" ds:itemID="{D5E37397-479C-430E-B06D-905313A94E76}"/>
</file>

<file path=docProps/app.xml><?xml version="1.0" encoding="utf-8"?>
<Properties xmlns="http://schemas.openxmlformats.org/officeDocument/2006/extended-properties" xmlns:vt="http://schemas.openxmlformats.org/officeDocument/2006/docPropsVTypes">
  <Template>Normal.dotm</Template>
  <TotalTime>8</TotalTime>
  <Pages>8</Pages>
  <Words>2684</Words>
  <Characters>14764</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Gasto-tributario-en-el-impuesto-sobre-la-renta-IVA-otros-AG-2022-Preparado-MFMP-2024</dc:title>
  <dc:subject/>
  <dc:creator>Juan Camilo Sanchez Delgado</dc:creator>
  <cp:keywords/>
  <dc:description/>
  <cp:lastModifiedBy>Diana Marcela Parra Garzon</cp:lastModifiedBy>
  <cp:revision>4</cp:revision>
  <dcterms:created xsi:type="dcterms:W3CDTF">2026-08-11T19:55:00Z</dcterms:created>
  <dcterms:modified xsi:type="dcterms:W3CDTF">2026-08-11T20:17:00Z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5bebcc17,51fc7b73,deea1c8</vt:lpwstr>
  </property>
  <property fmtid="{D5CDD505-2E9C-101B-9397-08002B2CF9AE}" pid="3" name="ClassificationContentMarkingFooterFontProps">
    <vt:lpwstr>#000000,10,Calibri</vt:lpwstr>
  </property>
  <property fmtid="{D5CDD505-2E9C-101B-9397-08002B2CF9AE}" pid="4" name="ClassificationContentMarkingFooterText">
    <vt:lpwstr>Información Pública</vt:lpwstr>
  </property>
  <property fmtid="{D5CDD505-2E9C-101B-9397-08002B2CF9AE}" pid="5" name="MSIP_Label_9238af61-cfb1-43e3-a724-fe68a71eee05_Enabled">
    <vt:lpwstr>true</vt:lpwstr>
  </property>
  <property fmtid="{D5CDD505-2E9C-101B-9397-08002B2CF9AE}" pid="6" name="MSIP_Label_9238af61-cfb1-43e3-a724-fe68a71eee05_SetDate">
    <vt:lpwstr>2025-10-31T14:33:10Z</vt:lpwstr>
  </property>
  <property fmtid="{D5CDD505-2E9C-101B-9397-08002B2CF9AE}" pid="7" name="MSIP_Label_9238af61-cfb1-43e3-a724-fe68a71eee05_Method">
    <vt:lpwstr>Privileged</vt:lpwstr>
  </property>
  <property fmtid="{D5CDD505-2E9C-101B-9397-08002B2CF9AE}" pid="8" name="MSIP_Label_9238af61-cfb1-43e3-a724-fe68a71eee05_Name">
    <vt:lpwstr>Pública</vt:lpwstr>
  </property>
  <property fmtid="{D5CDD505-2E9C-101B-9397-08002B2CF9AE}" pid="9" name="MSIP_Label_9238af61-cfb1-43e3-a724-fe68a71eee05_SiteId">
    <vt:lpwstr>fab26e5a-737a-4438-8ccd-8e465ecf21d8</vt:lpwstr>
  </property>
  <property fmtid="{D5CDD505-2E9C-101B-9397-08002B2CF9AE}" pid="10" name="MSIP_Label_9238af61-cfb1-43e3-a724-fe68a71eee05_ActionId">
    <vt:lpwstr>68d0dafc-8f2d-4e26-a023-4712360f8404</vt:lpwstr>
  </property>
  <property fmtid="{D5CDD505-2E9C-101B-9397-08002B2CF9AE}" pid="11" name="MSIP_Label_9238af61-cfb1-43e3-a724-fe68a71eee05_ContentBits">
    <vt:lpwstr>2</vt:lpwstr>
  </property>
  <property fmtid="{D5CDD505-2E9C-101B-9397-08002B2CF9AE}" pid="12" name="ContentTypeId">
    <vt:lpwstr>0x0101003DBBF5ADEA52F445930D803278EF1D46</vt:lpwstr>
  </property>
</Properties>
</file>